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215" w:rsidRDefault="00781157" w:rsidP="00131E3D">
      <w:pPr>
        <w:pStyle w:val="Heading1"/>
        <w:pBdr>
          <w:top w:val="single" w:sz="4" w:space="1" w:color="auto"/>
          <w:left w:val="single" w:sz="4" w:space="4" w:color="auto"/>
          <w:bottom w:val="single" w:sz="4" w:space="0" w:color="auto"/>
          <w:right w:val="single" w:sz="4" w:space="9" w:color="auto"/>
        </w:pBdr>
        <w:ind w:left="91"/>
        <w:jc w:val="center"/>
      </w:pPr>
      <w:r>
        <w:rPr>
          <w:noProof/>
        </w:rPr>
        <mc:AlternateContent>
          <mc:Choice Requires="wps">
            <w:drawing>
              <wp:anchor distT="0" distB="0" distL="114300" distR="114300" simplePos="0" relativeHeight="251659264" behindDoc="0" locked="0" layoutInCell="1" allowOverlap="1" wp14:anchorId="28136C28" wp14:editId="0C29095C">
                <wp:simplePos x="0" y="0"/>
                <wp:positionH relativeFrom="column">
                  <wp:posOffset>7598204</wp:posOffset>
                </wp:positionH>
                <wp:positionV relativeFrom="paragraph">
                  <wp:posOffset>248817</wp:posOffset>
                </wp:positionV>
                <wp:extent cx="1887855" cy="7893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789305"/>
                        </a:xfrm>
                        <a:prstGeom prst="rect">
                          <a:avLst/>
                        </a:prstGeom>
                        <a:solidFill>
                          <a:srgbClr val="FFFFFF"/>
                        </a:solidFill>
                        <a:ln w="9525">
                          <a:noFill/>
                          <a:miter lim="800000"/>
                          <a:headEnd/>
                          <a:tailEnd/>
                        </a:ln>
                      </wps:spPr>
                      <wps:txbx>
                        <w:txbxContent>
                          <w:p w:rsidR="00D41215" w:rsidRDefault="00D41215" w:rsidP="00D41215">
                            <w:pPr>
                              <w:jc w:val="center"/>
                            </w:pPr>
                            <w:r>
                              <w:rPr>
                                <w:noProof/>
                              </w:rPr>
                              <w:drawing>
                                <wp:inline distT="0" distB="0" distL="0" distR="0" wp14:anchorId="564FA089" wp14:editId="47CE7F83">
                                  <wp:extent cx="1655233" cy="633730"/>
                                  <wp:effectExtent l="0" t="0" r="2540" b="0"/>
                                  <wp:docPr id="2" name="Picture 49"/>
                                  <wp:cNvGraphicFramePr/>
                                  <a:graphic xmlns:a="http://schemas.openxmlformats.org/drawingml/2006/main">
                                    <a:graphicData uri="http://schemas.openxmlformats.org/drawingml/2006/picture">
                                      <pic:pic xmlns:pic="http://schemas.openxmlformats.org/drawingml/2006/picture">
                                        <pic:nvPicPr>
                                          <pic:cNvPr id="1" name="Picture 49"/>
                                          <pic:cNvPicPr/>
                                        </pic:nvPicPr>
                                        <pic:blipFill rotWithShape="1">
                                          <a:blip r:embed="rId9">
                                            <a:extLst>
                                              <a:ext uri="{28A0092B-C50C-407E-A947-70E740481C1C}">
                                                <a14:useLocalDpi xmlns:a14="http://schemas.microsoft.com/office/drawing/2010/main" val="0"/>
                                              </a:ext>
                                            </a:extLst>
                                          </a:blip>
                                          <a:srcRect r="-3413"/>
                                          <a:stretch/>
                                        </pic:blipFill>
                                        <pic:spPr bwMode="auto">
                                          <a:xfrm>
                                            <a:off x="0" y="0"/>
                                            <a:ext cx="1663264" cy="6368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36C28" id="_x0000_t202" coordsize="21600,21600" o:spt="202" path="m,l,21600r21600,l21600,xe">
                <v:stroke joinstyle="miter"/>
                <v:path gradientshapeok="t" o:connecttype="rect"/>
              </v:shapetype>
              <v:shape id="Text Box 2" o:spid="_x0000_s1026" type="#_x0000_t202" style="position:absolute;left:0;text-align:left;margin-left:598.3pt;margin-top:19.6pt;width:148.65pt;height: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" stroked="f">
                <v:textbox>
                  <w:txbxContent>
                    <w:p w:rsidR="00D41215" w:rsidRDefault="00D41215" w:rsidP="00D41215">
                      <w:pPr>
                        <w:jc w:val="center"/>
                      </w:pPr>
                      <w:r>
                        <w:rPr>
                          <w:noProof/>
                        </w:rPr>
                        <w:drawing>
                          <wp:inline distT="0" distB="0" distL="0" distR="0" wp14:anchorId="564FA089" wp14:editId="47CE7F83">
                            <wp:extent cx="1655233" cy="633730"/>
                            <wp:effectExtent l="0" t="0" r="2540" b="0"/>
                            <wp:docPr id="2" name="Picture 49"/>
                            <wp:cNvGraphicFramePr/>
                            <a:graphic xmlns:a="http://schemas.openxmlformats.org/drawingml/2006/main">
                              <a:graphicData uri="http://schemas.openxmlformats.org/drawingml/2006/picture">
                                <pic:pic xmlns:pic="http://schemas.openxmlformats.org/drawingml/2006/picture">
                                  <pic:nvPicPr>
                                    <pic:cNvPr id="1" name="Picture 49"/>
                                    <pic:cNvPicPr/>
                                  </pic:nvPicPr>
                                  <pic:blipFill rotWithShape="1">
                                    <a:blip r:embed="rId10">
                                      <a:extLst>
                                        <a:ext uri="{28A0092B-C50C-407E-A947-70E740481C1C}">
                                          <a14:useLocalDpi xmlns:a14="http://schemas.microsoft.com/office/drawing/2010/main" val="0"/>
                                        </a:ext>
                                      </a:extLst>
                                    </a:blip>
                                    <a:srcRect r="-3413"/>
                                    <a:stretch/>
                                  </pic:blipFill>
                                  <pic:spPr bwMode="auto">
                                    <a:xfrm>
                                      <a:off x="0" y="0"/>
                                      <a:ext cx="1663264" cy="63680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37004A" w:rsidRPr="00C70806" w:rsidRDefault="00C65912" w:rsidP="00131E3D">
      <w:pPr>
        <w:pStyle w:val="Heading1"/>
        <w:pBdr>
          <w:top w:val="single" w:sz="4" w:space="1" w:color="auto"/>
          <w:left w:val="single" w:sz="4" w:space="4" w:color="auto"/>
          <w:bottom w:val="single" w:sz="4" w:space="0" w:color="auto"/>
          <w:right w:val="single" w:sz="4" w:space="9" w:color="auto"/>
        </w:pBdr>
        <w:ind w:left="91"/>
        <w:jc w:val="center"/>
        <w:rPr>
          <w:sz w:val="28"/>
          <w:szCs w:val="28"/>
        </w:rPr>
      </w:pPr>
      <w:r>
        <w:rPr>
          <w:sz w:val="28"/>
          <w:szCs w:val="28"/>
        </w:rPr>
        <w:t>Annex</w:t>
      </w:r>
      <w:r w:rsidR="00F02527">
        <w:rPr>
          <w:sz w:val="28"/>
          <w:szCs w:val="28"/>
        </w:rPr>
        <w:t xml:space="preserve"> </w:t>
      </w:r>
      <w:r w:rsidR="006671F5">
        <w:rPr>
          <w:sz w:val="28"/>
          <w:szCs w:val="28"/>
        </w:rPr>
        <w:t>D</w:t>
      </w:r>
    </w:p>
    <w:p w:rsidR="00D41215" w:rsidRPr="00C70806" w:rsidRDefault="0037004A" w:rsidP="00131E3D">
      <w:pPr>
        <w:pStyle w:val="Heading1"/>
        <w:pBdr>
          <w:top w:val="single" w:sz="4" w:space="1" w:color="auto"/>
          <w:left w:val="single" w:sz="4" w:space="4" w:color="auto"/>
          <w:bottom w:val="single" w:sz="4" w:space="0" w:color="auto"/>
          <w:right w:val="single" w:sz="4" w:space="9" w:color="auto"/>
        </w:pBdr>
        <w:ind w:left="91"/>
        <w:rPr>
          <w:sz w:val="28"/>
          <w:szCs w:val="28"/>
        </w:rPr>
      </w:pPr>
      <w:r w:rsidRPr="00C70806">
        <w:rPr>
          <w:sz w:val="28"/>
          <w:szCs w:val="28"/>
        </w:rPr>
        <w:t xml:space="preserve">  </w:t>
      </w:r>
    </w:p>
    <w:p w:rsidR="00D41215" w:rsidRPr="00C70806" w:rsidRDefault="008E6B41" w:rsidP="00131E3D">
      <w:pPr>
        <w:pStyle w:val="Heading1"/>
        <w:pBdr>
          <w:top w:val="single" w:sz="4" w:space="1" w:color="auto"/>
          <w:left w:val="single" w:sz="4" w:space="4" w:color="auto"/>
          <w:bottom w:val="single" w:sz="4" w:space="0" w:color="auto"/>
          <w:right w:val="single" w:sz="4" w:space="9" w:color="auto"/>
        </w:pBdr>
        <w:ind w:left="91"/>
        <w:rPr>
          <w:sz w:val="28"/>
          <w:szCs w:val="28"/>
        </w:rPr>
      </w:pPr>
      <w:r>
        <w:rPr>
          <w:sz w:val="28"/>
          <w:szCs w:val="28"/>
        </w:rPr>
        <w:t xml:space="preserve">Table of Comments </w:t>
      </w:r>
      <w:r w:rsidR="001E6714">
        <w:rPr>
          <w:sz w:val="28"/>
          <w:szCs w:val="28"/>
        </w:rPr>
        <w:t>on Consultation P</w:t>
      </w:r>
      <w:r w:rsidR="00D41215" w:rsidRPr="00C70806">
        <w:rPr>
          <w:sz w:val="28"/>
          <w:szCs w:val="28"/>
        </w:rPr>
        <w:t>aper</w:t>
      </w:r>
      <w:r w:rsidR="00EE72C3">
        <w:rPr>
          <w:sz w:val="28"/>
          <w:szCs w:val="28"/>
        </w:rPr>
        <w:t xml:space="preserve"> No.</w:t>
      </w:r>
      <w:r w:rsidR="00524378">
        <w:rPr>
          <w:sz w:val="28"/>
          <w:szCs w:val="28"/>
        </w:rPr>
        <w:t xml:space="preserve"> </w:t>
      </w:r>
      <w:r w:rsidR="001D61E2">
        <w:rPr>
          <w:sz w:val="28"/>
          <w:szCs w:val="28"/>
        </w:rPr>
        <w:t>6</w:t>
      </w:r>
      <w:r w:rsidR="00524378">
        <w:rPr>
          <w:sz w:val="28"/>
          <w:szCs w:val="28"/>
        </w:rPr>
        <w:t xml:space="preserve"> </w:t>
      </w:r>
      <w:r w:rsidR="00F02527">
        <w:rPr>
          <w:sz w:val="28"/>
          <w:szCs w:val="28"/>
        </w:rPr>
        <w:t>of 2019</w:t>
      </w:r>
    </w:p>
    <w:p w:rsidR="00C70806" w:rsidRPr="00C70806" w:rsidRDefault="005E5ADB" w:rsidP="00131E3D">
      <w:pPr>
        <w:pStyle w:val="Heading1"/>
        <w:pBdr>
          <w:top w:val="single" w:sz="4" w:space="1" w:color="auto"/>
          <w:left w:val="single" w:sz="4" w:space="4" w:color="auto"/>
          <w:bottom w:val="single" w:sz="4" w:space="0" w:color="auto"/>
          <w:right w:val="single" w:sz="4" w:space="9" w:color="auto"/>
        </w:pBdr>
        <w:ind w:left="91"/>
        <w:rPr>
          <w:sz w:val="28"/>
          <w:szCs w:val="28"/>
        </w:rPr>
      </w:pPr>
      <w:r>
        <w:rPr>
          <w:sz w:val="28"/>
          <w:szCs w:val="28"/>
        </w:rPr>
        <w:t xml:space="preserve">Proposed New </w:t>
      </w:r>
      <w:r w:rsidR="008E6B41">
        <w:rPr>
          <w:sz w:val="28"/>
          <w:szCs w:val="28"/>
        </w:rPr>
        <w:t>Data Protection Law</w:t>
      </w:r>
    </w:p>
    <w:tbl>
      <w:tblPr>
        <w:tblStyle w:val="TableGrid"/>
        <w:tblW w:w="15233" w:type="dxa"/>
        <w:tblInd w:w="-5"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15233"/>
      </w:tblGrid>
      <w:tr w:rsidR="00720EA9" w:rsidTr="00131E3D">
        <w:trPr>
          <w:trHeight w:hRule="exact" w:val="2911"/>
        </w:trPr>
        <w:tc>
          <w:tcPr>
            <w:tcW w:w="15233" w:type="dxa"/>
            <w:shd w:val="clear" w:color="auto" w:fill="FFFFFF" w:themeFill="background1"/>
            <w:vAlign w:val="center"/>
          </w:tcPr>
          <w:p w:rsidR="002B14C2" w:rsidRPr="00DC6619" w:rsidRDefault="002B14C2" w:rsidP="008E57B0">
            <w:pPr>
              <w:pStyle w:val="TableHeader"/>
              <w:jc w:val="both"/>
              <w:rPr>
                <w:b w:val="0"/>
                <w:color w:val="auto"/>
                <w:sz w:val="20"/>
                <w:szCs w:val="20"/>
              </w:rPr>
            </w:pPr>
            <w:r w:rsidRPr="00DC6619">
              <w:rPr>
                <w:b w:val="0"/>
                <w:color w:val="auto"/>
                <w:sz w:val="20"/>
                <w:szCs w:val="20"/>
                <w:u w:val="single"/>
              </w:rPr>
              <w:t>Note 1:</w:t>
            </w:r>
            <w:r w:rsidRPr="00DC6619">
              <w:rPr>
                <w:b w:val="0"/>
                <w:color w:val="auto"/>
                <w:sz w:val="20"/>
                <w:szCs w:val="20"/>
              </w:rPr>
              <w:tab/>
              <w:t xml:space="preserve">DIFCA reserves the right to publish, including on its website, any comments you provide. However, if you wish to remain anonymous, you must expressly request at the time of making comments that this should be the case. </w:t>
            </w:r>
          </w:p>
          <w:p w:rsidR="002B14C2" w:rsidRPr="00DC6619" w:rsidRDefault="002B14C2" w:rsidP="008E57B0">
            <w:pPr>
              <w:pStyle w:val="TableHeader"/>
              <w:jc w:val="both"/>
              <w:rPr>
                <w:b w:val="0"/>
                <w:color w:val="auto"/>
                <w:sz w:val="20"/>
                <w:szCs w:val="20"/>
              </w:rPr>
            </w:pPr>
          </w:p>
          <w:p w:rsidR="002B14C2" w:rsidRPr="00DC6619" w:rsidRDefault="002B14C2" w:rsidP="008E57B0">
            <w:pPr>
              <w:pStyle w:val="TableHeader"/>
              <w:jc w:val="both"/>
              <w:rPr>
                <w:b w:val="0"/>
                <w:color w:val="auto"/>
                <w:sz w:val="20"/>
                <w:szCs w:val="20"/>
              </w:rPr>
            </w:pPr>
            <w:r w:rsidRPr="00DC6619">
              <w:rPr>
                <w:b w:val="0"/>
                <w:color w:val="auto"/>
                <w:sz w:val="20"/>
                <w:szCs w:val="20"/>
                <w:u w:val="single"/>
              </w:rPr>
              <w:t>Note 2:</w:t>
            </w:r>
            <w:r w:rsidRPr="00DC6619">
              <w:rPr>
                <w:b w:val="0"/>
                <w:color w:val="auto"/>
                <w:sz w:val="20"/>
                <w:szCs w:val="20"/>
              </w:rPr>
              <w:tab/>
              <w:t xml:space="preserve">The second column, ‘comments on proposed policy’ relates to the policy explained in the CP paragraphs specified. The third column, ‘comments on </w:t>
            </w:r>
            <w:r w:rsidR="008E57B0">
              <w:rPr>
                <w:b w:val="0"/>
                <w:color w:val="auto"/>
                <w:sz w:val="20"/>
                <w:szCs w:val="20"/>
              </w:rPr>
              <w:t>legislation</w:t>
            </w:r>
            <w:r w:rsidRPr="00DC6619">
              <w:rPr>
                <w:b w:val="0"/>
                <w:color w:val="auto"/>
                <w:sz w:val="20"/>
                <w:szCs w:val="20"/>
              </w:rPr>
              <w:t xml:space="preserve">’ refers to the draft </w:t>
            </w:r>
            <w:r w:rsidR="00493CB7">
              <w:rPr>
                <w:b w:val="0"/>
                <w:color w:val="auto"/>
                <w:sz w:val="20"/>
                <w:szCs w:val="20"/>
              </w:rPr>
              <w:t>legislation</w:t>
            </w:r>
            <w:r w:rsidRPr="00DC6619">
              <w:rPr>
                <w:b w:val="0"/>
                <w:color w:val="auto"/>
                <w:sz w:val="20"/>
                <w:szCs w:val="20"/>
              </w:rPr>
              <w:t xml:space="preserve"> reflecting the proposed policy.</w:t>
            </w:r>
          </w:p>
          <w:p w:rsidR="002B14C2" w:rsidRPr="00DC6619" w:rsidRDefault="002B14C2" w:rsidP="008E57B0">
            <w:pPr>
              <w:pStyle w:val="TableHeader"/>
              <w:jc w:val="both"/>
              <w:rPr>
                <w:b w:val="0"/>
                <w:color w:val="auto"/>
                <w:sz w:val="20"/>
                <w:szCs w:val="20"/>
              </w:rPr>
            </w:pPr>
          </w:p>
          <w:p w:rsidR="002B14C2" w:rsidRPr="00DC6619" w:rsidRDefault="002B14C2" w:rsidP="008E57B0">
            <w:pPr>
              <w:pStyle w:val="TableHeader"/>
              <w:jc w:val="both"/>
              <w:rPr>
                <w:b w:val="0"/>
                <w:color w:val="auto"/>
                <w:sz w:val="20"/>
                <w:szCs w:val="20"/>
              </w:rPr>
            </w:pPr>
            <w:r w:rsidRPr="00DC6619">
              <w:rPr>
                <w:b w:val="0"/>
                <w:color w:val="auto"/>
                <w:sz w:val="20"/>
                <w:szCs w:val="20"/>
                <w:u w:val="single"/>
              </w:rPr>
              <w:t>Note 3:</w:t>
            </w:r>
            <w:r w:rsidRPr="00DC6619">
              <w:rPr>
                <w:b w:val="0"/>
                <w:color w:val="auto"/>
                <w:sz w:val="20"/>
                <w:szCs w:val="20"/>
              </w:rPr>
              <w:tab/>
              <w:t xml:space="preserve">It is possible that you may not have any comments, either on the proposed policy or draft </w:t>
            </w:r>
            <w:r w:rsidR="00493CB7">
              <w:rPr>
                <w:b w:val="0"/>
                <w:color w:val="auto"/>
                <w:sz w:val="20"/>
                <w:szCs w:val="20"/>
              </w:rPr>
              <w:t>legislation</w:t>
            </w:r>
            <w:r w:rsidRPr="00DC6619">
              <w:rPr>
                <w:b w:val="0"/>
                <w:color w:val="auto"/>
                <w:sz w:val="20"/>
                <w:szCs w:val="20"/>
              </w:rPr>
              <w:t xml:space="preserve">, or may have comments on one and not the other. You may leave a blank column if you either agree to the proposed position, or you have no concerns relating it. </w:t>
            </w:r>
          </w:p>
          <w:p w:rsidR="002B14C2" w:rsidRPr="00DC6619" w:rsidRDefault="002B14C2" w:rsidP="008E57B0">
            <w:pPr>
              <w:pStyle w:val="TableHeader"/>
              <w:jc w:val="both"/>
              <w:rPr>
                <w:b w:val="0"/>
                <w:color w:val="auto"/>
                <w:sz w:val="20"/>
                <w:szCs w:val="20"/>
              </w:rPr>
            </w:pPr>
          </w:p>
          <w:p w:rsidR="00D41215" w:rsidRPr="00AD036C" w:rsidRDefault="002B14C2" w:rsidP="008E57B0">
            <w:pPr>
              <w:pStyle w:val="TableHeader"/>
              <w:jc w:val="both"/>
              <w:rPr>
                <w:sz w:val="20"/>
                <w:szCs w:val="20"/>
              </w:rPr>
            </w:pPr>
            <w:r w:rsidRPr="00DC6619">
              <w:rPr>
                <w:b w:val="0"/>
                <w:color w:val="auto"/>
                <w:sz w:val="20"/>
                <w:szCs w:val="20"/>
                <w:u w:val="single"/>
              </w:rPr>
              <w:t>Note 4:</w:t>
            </w:r>
            <w:r w:rsidRPr="00DC6619">
              <w:rPr>
                <w:b w:val="0"/>
                <w:color w:val="auto"/>
                <w:sz w:val="20"/>
                <w:szCs w:val="20"/>
              </w:rPr>
              <w:tab/>
              <w:t xml:space="preserve">If there are any ambiguities relating to the proposed policy or draft </w:t>
            </w:r>
            <w:r w:rsidR="00493CB7">
              <w:rPr>
                <w:b w:val="0"/>
                <w:color w:val="auto"/>
                <w:sz w:val="20"/>
                <w:szCs w:val="20"/>
              </w:rPr>
              <w:t>legislation</w:t>
            </w:r>
            <w:r w:rsidRPr="00DC6619">
              <w:rPr>
                <w:b w:val="0"/>
                <w:color w:val="auto"/>
                <w:sz w:val="20"/>
                <w:szCs w:val="20"/>
              </w:rPr>
              <w:t>, you may raise those in your comments.</w:t>
            </w:r>
          </w:p>
        </w:tc>
      </w:tr>
    </w:tbl>
    <w:p w:rsidR="00907366" w:rsidRDefault="00907366">
      <w:pPr>
        <w:rPr>
          <w:color w:val="auto"/>
          <w:sz w:val="24"/>
        </w:rPr>
      </w:pPr>
    </w:p>
    <w:p w:rsidR="00781157" w:rsidRDefault="00781157">
      <w:pPr>
        <w:rPr>
          <w:color w:val="auto"/>
          <w:sz w:val="24"/>
        </w:rPr>
      </w:pPr>
    </w:p>
    <w:tbl>
      <w:tblPr>
        <w:tblStyle w:val="TableGrid"/>
        <w:tblW w:w="151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113" w:type="dxa"/>
        </w:tblCellMar>
        <w:tblLook w:val="04A0" w:firstRow="1" w:lastRow="0" w:firstColumn="1" w:lastColumn="0" w:noHBand="0" w:noVBand="1"/>
      </w:tblPr>
      <w:tblGrid>
        <w:gridCol w:w="5670"/>
        <w:gridCol w:w="9450"/>
      </w:tblGrid>
      <w:tr w:rsidR="00781157" w:rsidRPr="00D41215" w:rsidTr="00DC6619">
        <w:trPr>
          <w:trHeight w:val="227"/>
          <w:tblHeader/>
        </w:trPr>
        <w:tc>
          <w:tcPr>
            <w:tcW w:w="5670" w:type="dxa"/>
            <w:vAlign w:val="center"/>
          </w:tcPr>
          <w:p w:rsidR="00781157" w:rsidRPr="00D41215" w:rsidRDefault="00781157" w:rsidP="00F64A58">
            <w:pPr>
              <w:ind w:left="176"/>
              <w:rPr>
                <w:b/>
                <w:sz w:val="22"/>
                <w:szCs w:val="16"/>
              </w:rPr>
            </w:pPr>
            <w:r w:rsidRPr="00D41215">
              <w:rPr>
                <w:b/>
                <w:sz w:val="22"/>
                <w:szCs w:val="16"/>
              </w:rPr>
              <w:t xml:space="preserve">Name of individual / </w:t>
            </w:r>
            <w:r>
              <w:rPr>
                <w:b/>
                <w:sz w:val="22"/>
                <w:szCs w:val="16"/>
              </w:rPr>
              <w:t>entity providing com</w:t>
            </w:r>
            <w:r w:rsidRPr="00D41215">
              <w:rPr>
                <w:b/>
                <w:sz w:val="22"/>
                <w:szCs w:val="16"/>
              </w:rPr>
              <w:t>ment</w:t>
            </w:r>
            <w:r>
              <w:rPr>
                <w:b/>
                <w:sz w:val="22"/>
                <w:szCs w:val="16"/>
              </w:rPr>
              <w:t>s:</w:t>
            </w:r>
          </w:p>
        </w:tc>
        <w:tc>
          <w:tcPr>
            <w:tcW w:w="9450" w:type="dxa"/>
            <w:vAlign w:val="center"/>
          </w:tcPr>
          <w:p w:rsidR="00781157" w:rsidRPr="00D41215" w:rsidRDefault="00781157" w:rsidP="00F64A58">
            <w:pPr>
              <w:ind w:firstLine="176"/>
              <w:rPr>
                <w:color w:val="auto"/>
                <w:sz w:val="22"/>
              </w:rPr>
            </w:pPr>
          </w:p>
        </w:tc>
      </w:tr>
    </w:tbl>
    <w:p w:rsidR="00781157" w:rsidRDefault="00781157">
      <w:pPr>
        <w:rPr>
          <w:color w:val="auto"/>
          <w:sz w:val="24"/>
        </w:rPr>
      </w:pPr>
    </w:p>
    <w:tbl>
      <w:tblPr>
        <w:tblStyle w:val="TableGrid"/>
        <w:tblW w:w="0" w:type="auto"/>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Layout w:type="fixed"/>
        <w:tblCellMar>
          <w:top w:w="113" w:type="dxa"/>
          <w:bottom w:w="113" w:type="dxa"/>
        </w:tblCellMar>
        <w:tblLook w:val="04A0" w:firstRow="1" w:lastRow="0" w:firstColumn="1" w:lastColumn="0" w:noHBand="0" w:noVBand="1"/>
      </w:tblPr>
      <w:tblGrid>
        <w:gridCol w:w="720"/>
        <w:gridCol w:w="7200"/>
        <w:gridCol w:w="7200"/>
      </w:tblGrid>
      <w:tr w:rsidR="000C5C06" w:rsidRPr="00D41215" w:rsidTr="00DC2D79">
        <w:trPr>
          <w:trHeight w:hRule="exact" w:val="388"/>
          <w:tblHeader/>
        </w:trPr>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0C5C06" w:rsidRPr="00D41215" w:rsidRDefault="000C5C06" w:rsidP="00F64A58">
            <w:pPr>
              <w:pStyle w:val="TableHeader"/>
              <w:rPr>
                <w:szCs w:val="2"/>
              </w:rPr>
            </w:pPr>
            <w:r>
              <w:rPr>
                <w:szCs w:val="2"/>
              </w:rPr>
              <w:t xml:space="preserve">No. </w:t>
            </w:r>
          </w:p>
        </w:tc>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0C5C06" w:rsidRPr="00D41215" w:rsidRDefault="000C5C06" w:rsidP="00F64A58">
            <w:pPr>
              <w:pStyle w:val="TableHeader"/>
              <w:jc w:val="center"/>
              <w:rPr>
                <w:szCs w:val="2"/>
              </w:rPr>
            </w:pPr>
            <w:r>
              <w:rPr>
                <w:szCs w:val="2"/>
              </w:rPr>
              <w:t>Comments on proposed policy</w:t>
            </w:r>
          </w:p>
        </w:tc>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0C5C06" w:rsidRPr="00D41215" w:rsidRDefault="000C5C06" w:rsidP="008E57B0">
            <w:pPr>
              <w:pStyle w:val="TableHeader"/>
              <w:jc w:val="center"/>
              <w:rPr>
                <w:szCs w:val="2"/>
              </w:rPr>
            </w:pPr>
            <w:r>
              <w:rPr>
                <w:szCs w:val="2"/>
              </w:rPr>
              <w:t>Comments on legislation</w:t>
            </w:r>
          </w:p>
        </w:tc>
      </w:tr>
      <w:tr w:rsidR="000C5C06" w:rsidRPr="00135CDB" w:rsidTr="00DC2D79">
        <w:trPr>
          <w:trHeight w:hRule="exact" w:val="388"/>
        </w:trPr>
        <w:tc>
          <w:tcPr>
            <w:tcW w:w="15120" w:type="dxa"/>
            <w:gridSpan w:val="3"/>
            <w:tcBorders>
              <w:top w:val="single" w:sz="4" w:space="0" w:color="FFFFFF" w:themeColor="background1"/>
              <w:left w:val="single" w:sz="4" w:space="0" w:color="auto"/>
              <w:bottom w:val="single" w:sz="4" w:space="0" w:color="auto"/>
              <w:right w:val="single" w:sz="4" w:space="0" w:color="auto"/>
            </w:tcBorders>
            <w:shd w:val="clear" w:color="auto" w:fill="10123C" w:themeFill="accent1"/>
          </w:tcPr>
          <w:p w:rsidR="000C5C06" w:rsidRPr="00135CDB" w:rsidRDefault="008E6B41" w:rsidP="007B3715">
            <w:pPr>
              <w:pStyle w:val="TableHeader"/>
              <w:rPr>
                <w:bCs/>
                <w:color w:val="auto"/>
                <w:szCs w:val="2"/>
              </w:rPr>
            </w:pPr>
            <w:r>
              <w:rPr>
                <w:bCs/>
                <w:color w:val="auto"/>
                <w:szCs w:val="2"/>
              </w:rPr>
              <w:t>Application of the proposed Law (Article 5)</w:t>
            </w:r>
          </w:p>
        </w:tc>
      </w:tr>
      <w:tr w:rsidR="000C5C06" w:rsidRPr="003153DB" w:rsidTr="00C23E71">
        <w:trPr>
          <w:trHeight w:hRule="exact" w:val="796"/>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8E6B41" w:rsidRPr="008E6B41" w:rsidRDefault="000C5C06" w:rsidP="008E6B41">
            <w:pPr>
              <w:tabs>
                <w:tab w:val="right" w:pos="9936"/>
              </w:tabs>
              <w:spacing w:before="23" w:line="251" w:lineRule="exact"/>
              <w:textAlignment w:val="baseline"/>
              <w:rPr>
                <w:rFonts w:ascii="Times New Roman" w:eastAsia="PMingLiU" w:hAnsi="Times New Roman" w:cs="Times New Roman"/>
                <w:color w:val="auto"/>
                <w:sz w:val="22"/>
                <w:szCs w:val="22"/>
              </w:rPr>
            </w:pPr>
            <w:r w:rsidRPr="00EC434A">
              <w:rPr>
                <w:b/>
                <w:color w:val="auto"/>
                <w:sz w:val="22"/>
                <w:szCs w:val="22"/>
              </w:rPr>
              <w:t>Q1:</w:t>
            </w:r>
            <w:r w:rsidR="005E5ADB">
              <w:rPr>
                <w:b/>
                <w:color w:val="auto"/>
                <w:sz w:val="22"/>
                <w:szCs w:val="22"/>
              </w:rPr>
              <w:t xml:space="preserve"> </w:t>
            </w:r>
            <w:r w:rsidR="008E6B41" w:rsidRPr="008E6B41">
              <w:rPr>
                <w:rFonts w:ascii="Arial" w:eastAsia="Arial" w:hAnsi="Arial" w:cs="Times New Roman"/>
                <w:b/>
                <w:color w:val="000000"/>
                <w:sz w:val="22"/>
                <w:szCs w:val="22"/>
              </w:rPr>
              <w:t>If you believe the scope of the law is unclear then please provide comments as to why.</w:t>
            </w:r>
          </w:p>
          <w:p w:rsidR="000C5C06" w:rsidRPr="003153DB" w:rsidRDefault="000C5C06" w:rsidP="008E6B41">
            <w:pPr>
              <w:pStyle w:val="BodyText"/>
              <w:kinsoku w:val="0"/>
              <w:overflowPunct w:val="0"/>
              <w:autoSpaceDE w:val="0"/>
              <w:autoSpaceDN w:val="0"/>
              <w:spacing w:after="0"/>
              <w:ind w:left="432" w:hanging="432"/>
              <w:rPr>
                <w:color w:val="auto"/>
                <w:szCs w:val="22"/>
              </w:rPr>
            </w:pPr>
          </w:p>
        </w:tc>
      </w:tr>
      <w:tr w:rsidR="000C5C06"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r>
      <w:tr w:rsidR="000C5C06"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F4ADA" w:rsidRDefault="002F4ADA" w:rsidP="000C5C06">
            <w:pPr>
              <w:pStyle w:val="TableHeader"/>
              <w:rPr>
                <w:b w:val="0"/>
                <w:color w:val="auto"/>
                <w:szCs w:val="2"/>
              </w:rPr>
            </w:pPr>
          </w:p>
          <w:p w:rsidR="002F4ADA" w:rsidRPr="002F4ADA" w:rsidRDefault="002F4ADA" w:rsidP="002F4ADA"/>
          <w:p w:rsidR="002F4ADA" w:rsidRPr="002F4ADA" w:rsidRDefault="002F4ADA" w:rsidP="002F4ADA"/>
          <w:p w:rsidR="002F4ADA" w:rsidRPr="002F4ADA" w:rsidRDefault="002F4ADA" w:rsidP="002F4ADA"/>
          <w:p w:rsidR="002F4ADA" w:rsidRPr="002F4ADA" w:rsidRDefault="002F4ADA" w:rsidP="002F4ADA"/>
          <w:p w:rsidR="002F4ADA" w:rsidRPr="002F4ADA" w:rsidRDefault="002F4ADA" w:rsidP="002F4ADA"/>
          <w:p w:rsidR="000C5C06" w:rsidRPr="002F4ADA" w:rsidRDefault="002F4ADA" w:rsidP="002F4ADA">
            <w:pPr>
              <w:tabs>
                <w:tab w:val="left" w:pos="3996"/>
              </w:tabs>
            </w:pPr>
            <w:r>
              <w:tab/>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F4ADA" w:rsidRDefault="002F4ADA" w:rsidP="000C5C06">
            <w:pPr>
              <w:pStyle w:val="TableHeader"/>
              <w:rPr>
                <w:b w:val="0"/>
                <w:color w:val="auto"/>
                <w:szCs w:val="2"/>
              </w:rPr>
            </w:pPr>
          </w:p>
          <w:p w:rsidR="002F4ADA" w:rsidRPr="002F4ADA" w:rsidRDefault="002F4ADA" w:rsidP="002F4ADA"/>
          <w:p w:rsidR="002F4ADA" w:rsidRPr="002F4ADA" w:rsidRDefault="002F4ADA" w:rsidP="002F4ADA"/>
          <w:p w:rsidR="002F4ADA" w:rsidRPr="002F4ADA" w:rsidRDefault="002F4ADA" w:rsidP="002F4ADA"/>
          <w:p w:rsidR="002F4ADA" w:rsidRPr="002F4ADA" w:rsidRDefault="002F4ADA" w:rsidP="002F4ADA"/>
          <w:p w:rsidR="002F4ADA" w:rsidRPr="002F4ADA" w:rsidRDefault="002F4ADA" w:rsidP="002F4ADA"/>
          <w:p w:rsidR="000C5C06" w:rsidRPr="002F4ADA" w:rsidRDefault="000C5C06" w:rsidP="002F4ADA">
            <w:pPr>
              <w:jc w:val="center"/>
            </w:pPr>
          </w:p>
        </w:tc>
      </w:tr>
      <w:tr w:rsidR="00F02527"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F02527" w:rsidRPr="000C5C06" w:rsidRDefault="00F02527"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F02527" w:rsidRDefault="00F02527"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F02527" w:rsidRDefault="00F02527" w:rsidP="000C5C06">
            <w:pPr>
              <w:pStyle w:val="TableHeader"/>
              <w:rPr>
                <w:b w:val="0"/>
                <w:color w:val="auto"/>
                <w:szCs w:val="2"/>
              </w:rPr>
            </w:pPr>
          </w:p>
        </w:tc>
      </w:tr>
      <w:tr w:rsidR="0080135E" w:rsidRPr="00D41215" w:rsidTr="00DC2D79">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80135E" w:rsidRPr="00EC4D9C" w:rsidRDefault="008E6B41" w:rsidP="00EC4D9C">
            <w:pPr>
              <w:pStyle w:val="TableHeader"/>
              <w:rPr>
                <w:bCs/>
                <w:color w:val="auto"/>
                <w:szCs w:val="2"/>
                <w:lang w:val="en-GB"/>
              </w:rPr>
            </w:pPr>
            <w:r>
              <w:rPr>
                <w:bCs/>
                <w:color w:val="auto"/>
                <w:szCs w:val="2"/>
                <w:lang w:val="en-GB"/>
              </w:rPr>
              <w:lastRenderedPageBreak/>
              <w:t>Requirements for legitimate and lawful Processing (Articles 9-13)</w:t>
            </w:r>
          </w:p>
          <w:p w:rsidR="0080135E" w:rsidRPr="008C7E4A" w:rsidRDefault="0080135E" w:rsidP="000C5C06">
            <w:pPr>
              <w:pStyle w:val="TableHeader"/>
              <w:rPr>
                <w:bCs/>
                <w:color w:val="auto"/>
                <w:szCs w:val="2"/>
              </w:rPr>
            </w:pPr>
          </w:p>
        </w:tc>
      </w:tr>
      <w:tr w:rsidR="0080135E" w:rsidRPr="00EC434A" w:rsidTr="008E6B41">
        <w:trPr>
          <w:trHeight w:hRule="exact" w:val="1363"/>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8E6B41" w:rsidRPr="008E6B41" w:rsidRDefault="00F42140" w:rsidP="008F5A6F">
            <w:pPr>
              <w:tabs>
                <w:tab w:val="right" w:pos="9936"/>
              </w:tabs>
              <w:spacing w:before="23" w:line="251" w:lineRule="exact"/>
              <w:ind w:left="432" w:hanging="432"/>
              <w:jc w:val="both"/>
              <w:textAlignment w:val="baseline"/>
              <w:rPr>
                <w:rFonts w:ascii="Arial" w:eastAsia="Arial" w:hAnsi="Arial" w:cs="Times New Roman"/>
                <w:b/>
                <w:color w:val="auto"/>
                <w:sz w:val="22"/>
                <w:szCs w:val="22"/>
              </w:rPr>
            </w:pPr>
            <w:r>
              <w:rPr>
                <w:b/>
                <w:color w:val="auto"/>
                <w:sz w:val="22"/>
                <w:szCs w:val="22"/>
              </w:rPr>
              <w:t>Q2</w:t>
            </w:r>
            <w:r w:rsidRPr="00EC434A">
              <w:rPr>
                <w:b/>
                <w:color w:val="auto"/>
                <w:sz w:val="22"/>
                <w:szCs w:val="22"/>
              </w:rPr>
              <w:t xml:space="preserve">: </w:t>
            </w:r>
            <w:r w:rsidR="008E6B41" w:rsidRPr="008E6B41">
              <w:rPr>
                <w:rFonts w:ascii="Arial" w:eastAsia="Arial" w:hAnsi="Arial" w:cs="Times New Roman"/>
                <w:b/>
                <w:color w:val="auto"/>
                <w:sz w:val="22"/>
                <w:szCs w:val="22"/>
              </w:rPr>
              <w:t>With reference to section 7, do you believe the omission of: "</w:t>
            </w:r>
            <w:r w:rsidR="008E6B41" w:rsidRPr="008E6B41">
              <w:rPr>
                <w:rFonts w:ascii="Arial" w:eastAsia="Arial" w:hAnsi="Arial" w:cs="Times New Roman"/>
                <w:b/>
                <w:i/>
                <w:iCs/>
                <w:color w:val="auto"/>
                <w:sz w:val="22"/>
                <w:szCs w:val="22"/>
              </w:rPr>
              <w:t>[Special Categories of Personal Data</w:t>
            </w:r>
            <w:r w:rsidR="008F5A6F">
              <w:rPr>
                <w:rFonts w:ascii="Arial" w:eastAsia="Arial" w:hAnsi="Arial" w:cs="Times New Roman"/>
                <w:b/>
                <w:i/>
                <w:iCs/>
                <w:color w:val="auto"/>
                <w:sz w:val="22"/>
                <w:szCs w:val="22"/>
              </w:rPr>
              <w:t xml:space="preserve"> shall not be Processed unless] </w:t>
            </w:r>
            <w:r w:rsidR="008E6B41" w:rsidRPr="008E6B41">
              <w:rPr>
                <w:rFonts w:ascii="Arial" w:eastAsia="Arial" w:hAnsi="Arial" w:cs="Times New Roman"/>
                <w:b/>
                <w:i/>
                <w:iCs/>
                <w:color w:val="auto"/>
                <w:sz w:val="22"/>
                <w:szCs w:val="22"/>
              </w:rPr>
              <w:t>necessary to uphold the legitimate interests of the Controller recognised in the international financial markets, provided that such is pursued in accordance with international financial standards and except where such interests are overridden by compelling legitimate interests of the Data Subject</w:t>
            </w:r>
            <w:r w:rsidR="008E6B41" w:rsidRPr="008E6B41">
              <w:rPr>
                <w:rFonts w:ascii="Arial" w:eastAsia="Arial" w:hAnsi="Arial" w:cs="Times New Roman"/>
                <w:b/>
                <w:color w:val="auto"/>
                <w:sz w:val="22"/>
                <w:szCs w:val="22"/>
              </w:rPr>
              <w:t xml:space="preserve">", will prove problematic?  If you are a Controller, what activities do you perform in reliance on this basis that could not be performed in reliance on one of the other bases? </w:t>
            </w:r>
          </w:p>
          <w:p w:rsidR="0080135E" w:rsidRPr="008E6B41" w:rsidRDefault="0080135E" w:rsidP="008E6B41">
            <w:pPr>
              <w:pStyle w:val="BodyText"/>
              <w:kinsoku w:val="0"/>
              <w:overflowPunct w:val="0"/>
              <w:autoSpaceDE w:val="0"/>
              <w:autoSpaceDN w:val="0"/>
              <w:spacing w:after="0"/>
              <w:ind w:left="432" w:hanging="432"/>
              <w:rPr>
                <w:color w:val="auto"/>
                <w:sz w:val="22"/>
                <w:szCs w:val="22"/>
              </w:rPr>
            </w:pP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r>
      <w:tr w:rsidR="0080135E" w:rsidRPr="00D41215" w:rsidTr="00C92159">
        <w:trPr>
          <w:trHeight w:hRule="exact" w:val="868"/>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8E6B41" w:rsidRPr="008E6B41" w:rsidRDefault="00F02527" w:rsidP="008F5A6F">
            <w:pPr>
              <w:tabs>
                <w:tab w:val="right" w:pos="9936"/>
              </w:tabs>
              <w:spacing w:before="23" w:line="251" w:lineRule="exact"/>
              <w:ind w:left="432" w:hanging="432"/>
              <w:jc w:val="both"/>
              <w:textAlignment w:val="baseline"/>
              <w:rPr>
                <w:rFonts w:ascii="Arial" w:eastAsia="Arial" w:hAnsi="Arial" w:cs="Times New Roman"/>
                <w:b/>
                <w:color w:val="000000"/>
                <w:sz w:val="22"/>
                <w:szCs w:val="22"/>
              </w:rPr>
            </w:pPr>
            <w:r>
              <w:rPr>
                <w:b/>
                <w:color w:val="auto"/>
                <w:sz w:val="22"/>
                <w:szCs w:val="22"/>
              </w:rPr>
              <w:t>Q3</w:t>
            </w:r>
            <w:r w:rsidR="0080135E" w:rsidRPr="00EC434A">
              <w:rPr>
                <w:b/>
                <w:color w:val="auto"/>
                <w:sz w:val="22"/>
                <w:szCs w:val="22"/>
              </w:rPr>
              <w:t>:</w:t>
            </w:r>
            <w:r w:rsidR="0080135E">
              <w:t xml:space="preserve"> </w:t>
            </w:r>
            <w:r w:rsidR="008E6B41" w:rsidRPr="008E6B41">
              <w:rPr>
                <w:rFonts w:ascii="Arial" w:eastAsia="Arial" w:hAnsi="Arial" w:cs="Times New Roman"/>
                <w:b/>
                <w:color w:val="000000"/>
                <w:sz w:val="22"/>
                <w:szCs w:val="22"/>
              </w:rPr>
              <w:t>With reference to section 28, please advise if you believe you have audit and accounting requirements which require the Processing of Special Categories of Personal Data and which are not mandatory legal requirements.</w:t>
            </w:r>
          </w:p>
          <w:p w:rsidR="0080135E" w:rsidRPr="00EC434A" w:rsidRDefault="0080135E" w:rsidP="008E6B41">
            <w:pPr>
              <w:pStyle w:val="BodyText"/>
              <w:tabs>
                <w:tab w:val="left" w:pos="426"/>
              </w:tabs>
              <w:kinsoku w:val="0"/>
              <w:overflowPunct w:val="0"/>
              <w:autoSpaceDE w:val="0"/>
              <w:autoSpaceDN w:val="0"/>
              <w:ind w:left="432" w:hanging="432"/>
              <w:rPr>
                <w:color w:val="auto"/>
                <w:sz w:val="22"/>
                <w:szCs w:val="22"/>
              </w:rPr>
            </w:pP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r>
      <w:tr w:rsidR="008E6B41" w:rsidRPr="00D41215" w:rsidTr="008E6B41">
        <w:trPr>
          <w:trHeight w:hRule="exact" w:val="868"/>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8E6B41" w:rsidRPr="008E6B41" w:rsidRDefault="008E6B41" w:rsidP="008F5A6F">
            <w:pPr>
              <w:tabs>
                <w:tab w:val="right" w:pos="9936"/>
              </w:tabs>
              <w:spacing w:before="23" w:line="251" w:lineRule="exact"/>
              <w:ind w:left="432" w:hanging="432"/>
              <w:jc w:val="both"/>
              <w:textAlignment w:val="baseline"/>
              <w:rPr>
                <w:b/>
                <w:color w:val="auto"/>
                <w:sz w:val="22"/>
                <w:szCs w:val="22"/>
              </w:rPr>
            </w:pPr>
            <w:r w:rsidRPr="008E6B41">
              <w:rPr>
                <w:b/>
                <w:color w:val="auto"/>
                <w:sz w:val="22"/>
                <w:szCs w:val="22"/>
              </w:rPr>
              <w:t>Q4: Please let us know if you have any concerns or comments in relation to the conditions for reliance on consent as a basis for Processing, in particular in relation to Article 12.  Please note that the ability of a Data Subject to withdraw consent will not be compromised.</w:t>
            </w:r>
          </w:p>
          <w:p w:rsidR="008E6B41" w:rsidRPr="008E6B41" w:rsidRDefault="008E6B41" w:rsidP="008E6B41">
            <w:pPr>
              <w:pStyle w:val="TableHeader"/>
              <w:rPr>
                <w:color w:val="auto"/>
                <w:szCs w:val="22"/>
              </w:rPr>
            </w:pPr>
          </w:p>
        </w:tc>
      </w:tr>
      <w:tr w:rsidR="008E6B41"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6B41" w:rsidRPr="000C5C06" w:rsidRDefault="008E6B41"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E6B41" w:rsidRPr="000C5C06" w:rsidRDefault="008E6B41"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E6B41" w:rsidRPr="000C5C06" w:rsidRDefault="008E6B41" w:rsidP="000C5C06">
            <w:pPr>
              <w:pStyle w:val="TableHeader"/>
              <w:rPr>
                <w:b w:val="0"/>
                <w:color w:val="auto"/>
                <w:szCs w:val="2"/>
              </w:rPr>
            </w:pPr>
          </w:p>
        </w:tc>
      </w:tr>
      <w:tr w:rsidR="008E6B41"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6B41" w:rsidRPr="000C5C06" w:rsidRDefault="008E6B41"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E6B41" w:rsidRPr="000C5C06" w:rsidRDefault="008E6B41"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E6B41" w:rsidRPr="000C5C06" w:rsidRDefault="008E6B41" w:rsidP="000C5C06">
            <w:pPr>
              <w:pStyle w:val="TableHeader"/>
              <w:rPr>
                <w:b w:val="0"/>
                <w:color w:val="auto"/>
                <w:szCs w:val="2"/>
              </w:rPr>
            </w:pPr>
          </w:p>
        </w:tc>
      </w:tr>
      <w:tr w:rsidR="008E6B41" w:rsidRPr="00D41215" w:rsidTr="008E6B41">
        <w:trPr>
          <w:trHeight w:hRule="exact" w:val="958"/>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8E6B41" w:rsidRPr="000C5C06" w:rsidRDefault="008E6B41" w:rsidP="008F5A6F">
            <w:pPr>
              <w:pStyle w:val="TableHeader"/>
              <w:ind w:left="432" w:hanging="432"/>
              <w:rPr>
                <w:b w:val="0"/>
                <w:color w:val="auto"/>
                <w:szCs w:val="2"/>
              </w:rPr>
            </w:pPr>
            <w:r w:rsidRPr="008E6B41">
              <w:rPr>
                <w:bCs/>
                <w:color w:val="auto"/>
                <w:szCs w:val="2"/>
              </w:rPr>
              <w:t xml:space="preserve">Q5: </w:t>
            </w:r>
            <w:r w:rsidRPr="00E5094B">
              <w:rPr>
                <w:rFonts w:ascii="Arial" w:eastAsia="Arial" w:hAnsi="Arial"/>
                <w:color w:val="000000"/>
              </w:rPr>
              <w:t>Please let us know if you have any concerns o</w:t>
            </w:r>
            <w:r>
              <w:rPr>
                <w:rFonts w:ascii="Arial" w:eastAsia="Arial" w:hAnsi="Arial"/>
                <w:color w:val="000000"/>
              </w:rPr>
              <w:t>r</w:t>
            </w:r>
            <w:r w:rsidRPr="00E5094B">
              <w:rPr>
                <w:rFonts w:ascii="Arial" w:eastAsia="Arial" w:hAnsi="Arial"/>
                <w:color w:val="000000"/>
              </w:rPr>
              <w:t xml:space="preserve"> comments in relation to</w:t>
            </w:r>
            <w:r>
              <w:rPr>
                <w:rFonts w:ascii="Arial" w:eastAsia="Arial" w:hAnsi="Arial"/>
                <w:color w:val="000000"/>
              </w:rPr>
              <w:t xml:space="preserve"> the use of legitimate interests </w:t>
            </w:r>
            <w:r w:rsidRPr="00E5094B">
              <w:rPr>
                <w:rFonts w:ascii="Arial" w:eastAsia="Arial" w:hAnsi="Arial"/>
                <w:color w:val="000000"/>
              </w:rPr>
              <w:t>as a basis for Processing, in particular in relation to Article 1</w:t>
            </w:r>
            <w:r>
              <w:rPr>
                <w:rFonts w:ascii="Arial" w:eastAsia="Arial" w:hAnsi="Arial"/>
                <w:color w:val="000000"/>
              </w:rPr>
              <w:t>3</w:t>
            </w:r>
            <w:r w:rsidRPr="00E5094B">
              <w:rPr>
                <w:rFonts w:ascii="Arial" w:eastAsia="Arial" w:hAnsi="Arial"/>
                <w:color w:val="000000"/>
              </w:rPr>
              <w:t>.</w:t>
            </w:r>
          </w:p>
        </w:tc>
      </w:tr>
      <w:tr w:rsidR="008E6B41"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6B41" w:rsidRPr="000C5C06" w:rsidRDefault="008E6B41"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E6B41" w:rsidRPr="000C5C06" w:rsidRDefault="008E6B41"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E6B41" w:rsidRPr="000C5C06" w:rsidRDefault="008E6B41" w:rsidP="000C5C06">
            <w:pPr>
              <w:pStyle w:val="TableHeader"/>
              <w:rPr>
                <w:b w:val="0"/>
                <w:color w:val="auto"/>
                <w:szCs w:val="2"/>
              </w:rPr>
            </w:pPr>
          </w:p>
        </w:tc>
      </w:tr>
      <w:tr w:rsidR="008E6B41"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E6B41" w:rsidRPr="000C5C06" w:rsidRDefault="008E6B41"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E6B41" w:rsidRPr="000C5C06" w:rsidRDefault="008E6B41"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E6B41" w:rsidRPr="000C5C06" w:rsidRDefault="008E6B41" w:rsidP="000C5C06">
            <w:pPr>
              <w:pStyle w:val="TableHeader"/>
              <w:rPr>
                <w:b w:val="0"/>
                <w:color w:val="auto"/>
                <w:szCs w:val="2"/>
              </w:rPr>
            </w:pPr>
          </w:p>
        </w:tc>
      </w:tr>
      <w:tr w:rsidR="0080135E" w:rsidRPr="00D41215" w:rsidTr="00DC2D79">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80135E" w:rsidRPr="00EC4D9C" w:rsidRDefault="00EC4301" w:rsidP="009F2F6E">
            <w:pPr>
              <w:pStyle w:val="TableHeader"/>
              <w:keepNext/>
              <w:keepLines/>
              <w:rPr>
                <w:bCs/>
                <w:color w:val="auto"/>
                <w:szCs w:val="2"/>
                <w:lang w:val="en-GB"/>
              </w:rPr>
            </w:pPr>
            <w:r>
              <w:rPr>
                <w:bCs/>
                <w:color w:val="auto"/>
                <w:szCs w:val="2"/>
                <w:lang w:val="en-GB"/>
              </w:rPr>
              <w:t>General Requirements (Articles 14-21)</w:t>
            </w:r>
          </w:p>
          <w:p w:rsidR="0080135E" w:rsidRPr="004E568E" w:rsidRDefault="0080135E" w:rsidP="009F2F6E">
            <w:pPr>
              <w:pStyle w:val="TableHeader"/>
              <w:keepNext/>
              <w:keepLines/>
              <w:rPr>
                <w:bCs/>
                <w:color w:val="auto"/>
                <w:szCs w:val="2"/>
              </w:rPr>
            </w:pPr>
          </w:p>
        </w:tc>
      </w:tr>
      <w:tr w:rsidR="0080135E" w:rsidRPr="00EC434A" w:rsidTr="00E910DE">
        <w:trPr>
          <w:trHeight w:hRule="exact" w:val="859"/>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EC4301" w:rsidRPr="00EC4301" w:rsidRDefault="00EC4301" w:rsidP="00EC4301">
            <w:pPr>
              <w:tabs>
                <w:tab w:val="left" w:pos="720"/>
                <w:tab w:val="right" w:pos="9936"/>
              </w:tabs>
              <w:spacing w:before="23" w:line="251" w:lineRule="exact"/>
              <w:jc w:val="both"/>
              <w:textAlignment w:val="baseline"/>
              <w:rPr>
                <w:rFonts w:ascii="Arial" w:eastAsia="Arial" w:hAnsi="Arial" w:cs="Times New Roman"/>
                <w:b/>
                <w:color w:val="000000"/>
                <w:sz w:val="22"/>
                <w:szCs w:val="22"/>
              </w:rPr>
            </w:pPr>
            <w:r>
              <w:rPr>
                <w:b/>
                <w:color w:val="auto"/>
                <w:sz w:val="22"/>
                <w:szCs w:val="22"/>
              </w:rPr>
              <w:t>Q6</w:t>
            </w:r>
            <w:r w:rsidR="0080135E" w:rsidRPr="00EC434A">
              <w:rPr>
                <w:b/>
                <w:color w:val="auto"/>
                <w:sz w:val="22"/>
                <w:szCs w:val="22"/>
              </w:rPr>
              <w:t xml:space="preserve">: </w:t>
            </w:r>
            <w:r w:rsidRPr="00EC4301">
              <w:rPr>
                <w:rFonts w:ascii="Arial" w:eastAsia="Arial" w:hAnsi="Arial" w:cs="Times New Roman"/>
                <w:b/>
                <w:color w:val="000000"/>
                <w:sz w:val="22"/>
                <w:szCs w:val="22"/>
              </w:rPr>
              <w:t>Controllers and Processors are invited to raise any concerns in relation to the record keeping requirements in Article 15.</w:t>
            </w:r>
          </w:p>
          <w:p w:rsidR="0080135E" w:rsidRPr="00EC434A" w:rsidRDefault="0080135E" w:rsidP="00EC4301">
            <w:pPr>
              <w:pStyle w:val="BodyText"/>
              <w:keepNext/>
              <w:keepLines/>
              <w:tabs>
                <w:tab w:val="left" w:pos="426"/>
              </w:tabs>
              <w:kinsoku w:val="0"/>
              <w:overflowPunct w:val="0"/>
              <w:autoSpaceDE w:val="0"/>
              <w:autoSpaceDN w:val="0"/>
              <w:spacing w:after="0"/>
              <w:ind w:left="432" w:hanging="432"/>
              <w:rPr>
                <w:rFonts w:cstheme="minorHAnsi"/>
                <w:b/>
                <w:color w:val="auto"/>
                <w:spacing w:val="1"/>
                <w:sz w:val="22"/>
                <w:szCs w:val="22"/>
                <w:lang w:eastAsia="en-GB"/>
              </w:rPr>
            </w:pP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r>
      <w:tr w:rsidR="00D557DF" w:rsidRPr="00D41215" w:rsidTr="00A51282">
        <w:trPr>
          <w:trHeight w:hRule="exact" w:val="1471"/>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A51282" w:rsidRPr="00A51282" w:rsidRDefault="00A51282" w:rsidP="008F5A6F">
            <w:pPr>
              <w:tabs>
                <w:tab w:val="left" w:pos="720"/>
                <w:tab w:val="right" w:pos="9936"/>
              </w:tabs>
              <w:spacing w:before="23" w:line="251" w:lineRule="exact"/>
              <w:ind w:left="432" w:hanging="432"/>
              <w:jc w:val="both"/>
              <w:textAlignment w:val="baseline"/>
              <w:rPr>
                <w:b/>
                <w:color w:val="auto"/>
                <w:sz w:val="22"/>
                <w:szCs w:val="22"/>
              </w:rPr>
            </w:pPr>
            <w:r w:rsidRPr="00A51282">
              <w:rPr>
                <w:b/>
                <w:color w:val="auto"/>
                <w:sz w:val="22"/>
                <w:szCs w:val="22"/>
              </w:rPr>
              <w:t>Q7: Is the definition of High Risk Processing Activity sufficiently clear?  We ask Controllers and Processors to bear in mind that, in practice, if such persons are in any doubt as to whether their activities are High Risk, our intent is that they would adopt a cautious approach and appoint a DPO.  In due course, the Commissioner may publish guidance or Regulations which confirm (non-exhaustively) that certain types and categories of Processing operations are considered to be High Risk Processing Activities.</w:t>
            </w:r>
          </w:p>
          <w:p w:rsidR="00D557DF" w:rsidRPr="00A51282" w:rsidRDefault="00D557DF" w:rsidP="009F2F6E">
            <w:pPr>
              <w:pStyle w:val="TableHeader"/>
              <w:keepNext/>
              <w:keepLines/>
              <w:rPr>
                <w:color w:val="auto"/>
                <w:szCs w:val="22"/>
              </w:rPr>
            </w:pPr>
          </w:p>
        </w:tc>
      </w:tr>
      <w:tr w:rsidR="00D557DF"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D557DF" w:rsidRPr="004E568E" w:rsidRDefault="00D557DF" w:rsidP="009F2F6E">
            <w:pPr>
              <w:pStyle w:val="TableHeader"/>
              <w:keepNext/>
              <w:keepLines/>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D557DF" w:rsidRPr="004E568E" w:rsidRDefault="00D557DF" w:rsidP="009F2F6E">
            <w:pPr>
              <w:pStyle w:val="TableHeader"/>
              <w:keepNext/>
              <w:keepLines/>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D557DF" w:rsidRPr="004E568E" w:rsidRDefault="00D557DF" w:rsidP="009F2F6E">
            <w:pPr>
              <w:pStyle w:val="TableHeader"/>
              <w:keepNext/>
              <w:keepLines/>
              <w:rPr>
                <w:bCs/>
                <w:color w:val="auto"/>
                <w:szCs w:val="2"/>
              </w:rPr>
            </w:pPr>
          </w:p>
        </w:tc>
      </w:tr>
      <w:tr w:rsidR="00D557DF" w:rsidRPr="00A51282"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D557DF" w:rsidRPr="00A51282" w:rsidRDefault="00D557DF" w:rsidP="00A51282">
            <w:pPr>
              <w:tabs>
                <w:tab w:val="left" w:pos="720"/>
                <w:tab w:val="right" w:pos="9936"/>
              </w:tabs>
              <w:spacing w:before="23" w:line="251" w:lineRule="exact"/>
              <w:jc w:val="both"/>
              <w:textAlignment w:val="baseline"/>
              <w:rPr>
                <w:b/>
                <w:color w:val="auto"/>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D557DF" w:rsidRPr="00A51282" w:rsidRDefault="00D557DF" w:rsidP="00A51282">
            <w:pPr>
              <w:tabs>
                <w:tab w:val="left" w:pos="720"/>
                <w:tab w:val="right" w:pos="9936"/>
              </w:tabs>
              <w:spacing w:before="23" w:line="251" w:lineRule="exact"/>
              <w:jc w:val="both"/>
              <w:textAlignment w:val="baseline"/>
              <w:rPr>
                <w:b/>
                <w:color w:val="auto"/>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D557DF" w:rsidRPr="00A51282" w:rsidRDefault="00D557DF" w:rsidP="00A51282">
            <w:pPr>
              <w:tabs>
                <w:tab w:val="left" w:pos="720"/>
                <w:tab w:val="right" w:pos="9936"/>
              </w:tabs>
              <w:spacing w:before="23" w:line="251" w:lineRule="exact"/>
              <w:jc w:val="both"/>
              <w:textAlignment w:val="baseline"/>
              <w:rPr>
                <w:b/>
                <w:color w:val="auto"/>
                <w:sz w:val="22"/>
                <w:szCs w:val="22"/>
              </w:rPr>
            </w:pPr>
          </w:p>
        </w:tc>
      </w:tr>
      <w:tr w:rsidR="00A51282" w:rsidRPr="00A51282" w:rsidTr="00A51282">
        <w:trPr>
          <w:trHeight w:hRule="exact" w:val="859"/>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A51282" w:rsidRPr="00A51282" w:rsidRDefault="00A51282" w:rsidP="00A51282">
            <w:pPr>
              <w:tabs>
                <w:tab w:val="right" w:pos="9936"/>
              </w:tabs>
              <w:spacing w:line="251" w:lineRule="exact"/>
              <w:jc w:val="both"/>
              <w:textAlignment w:val="baseline"/>
              <w:rPr>
                <w:rFonts w:ascii="Arial" w:eastAsia="Arial" w:hAnsi="Arial" w:cs="Times New Roman"/>
                <w:b/>
                <w:color w:val="000000"/>
                <w:sz w:val="22"/>
                <w:szCs w:val="22"/>
              </w:rPr>
            </w:pPr>
            <w:r>
              <w:rPr>
                <w:b/>
                <w:color w:val="auto"/>
                <w:sz w:val="22"/>
                <w:szCs w:val="22"/>
              </w:rPr>
              <w:t xml:space="preserve">Q8: </w:t>
            </w:r>
            <w:r w:rsidRPr="00A51282">
              <w:rPr>
                <w:rFonts w:ascii="Arial" w:eastAsia="Arial" w:hAnsi="Arial" w:cs="Times New Roman"/>
                <w:b/>
                <w:color w:val="000000"/>
                <w:sz w:val="22"/>
                <w:szCs w:val="22"/>
              </w:rPr>
              <w:t>If you believe you will be required to appoint a DPO but have concerns about your ability to do so, please provide details.</w:t>
            </w:r>
          </w:p>
          <w:p w:rsidR="00A51282" w:rsidRPr="00A51282" w:rsidRDefault="00A51282" w:rsidP="00A51282">
            <w:pPr>
              <w:tabs>
                <w:tab w:val="left" w:pos="720"/>
                <w:tab w:val="right" w:pos="9936"/>
              </w:tabs>
              <w:spacing w:before="23" w:line="251" w:lineRule="exact"/>
              <w:jc w:val="both"/>
              <w:textAlignment w:val="baseline"/>
              <w:rPr>
                <w:b/>
                <w:color w:val="auto"/>
                <w:sz w:val="22"/>
                <w:szCs w:val="22"/>
              </w:rPr>
            </w:pPr>
          </w:p>
        </w:tc>
      </w:tr>
      <w:tr w:rsidR="00A51282" w:rsidRPr="00A51282"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A51282" w:rsidRPr="00A51282" w:rsidRDefault="00A51282" w:rsidP="00A51282">
            <w:pPr>
              <w:tabs>
                <w:tab w:val="left" w:pos="720"/>
                <w:tab w:val="right" w:pos="9936"/>
              </w:tabs>
              <w:spacing w:before="23" w:line="251" w:lineRule="exact"/>
              <w:jc w:val="both"/>
              <w:textAlignment w:val="baseline"/>
              <w:rPr>
                <w:b/>
                <w:color w:val="auto"/>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A51282" w:rsidRPr="00A51282" w:rsidRDefault="00A51282" w:rsidP="00A51282">
            <w:pPr>
              <w:tabs>
                <w:tab w:val="left" w:pos="720"/>
                <w:tab w:val="right" w:pos="9936"/>
              </w:tabs>
              <w:spacing w:before="23" w:line="251" w:lineRule="exact"/>
              <w:jc w:val="both"/>
              <w:textAlignment w:val="baseline"/>
              <w:rPr>
                <w:b/>
                <w:color w:val="auto"/>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A51282" w:rsidRPr="00A51282" w:rsidRDefault="00A51282" w:rsidP="00A51282">
            <w:pPr>
              <w:tabs>
                <w:tab w:val="left" w:pos="720"/>
                <w:tab w:val="right" w:pos="9936"/>
              </w:tabs>
              <w:spacing w:before="23" w:line="251" w:lineRule="exact"/>
              <w:jc w:val="both"/>
              <w:textAlignment w:val="baseline"/>
              <w:rPr>
                <w:b/>
                <w:color w:val="auto"/>
                <w:sz w:val="22"/>
                <w:szCs w:val="22"/>
              </w:rPr>
            </w:pPr>
          </w:p>
        </w:tc>
      </w:tr>
      <w:tr w:rsidR="00A51282" w:rsidRPr="00A51282"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A51282" w:rsidRPr="00A51282" w:rsidRDefault="00A51282" w:rsidP="00A51282">
            <w:pPr>
              <w:tabs>
                <w:tab w:val="left" w:pos="720"/>
                <w:tab w:val="right" w:pos="9936"/>
              </w:tabs>
              <w:spacing w:before="23" w:line="251" w:lineRule="exact"/>
              <w:jc w:val="both"/>
              <w:textAlignment w:val="baseline"/>
              <w:rPr>
                <w:b/>
                <w:color w:val="auto"/>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A51282" w:rsidRPr="00A51282" w:rsidRDefault="00A51282" w:rsidP="00A51282">
            <w:pPr>
              <w:tabs>
                <w:tab w:val="left" w:pos="720"/>
                <w:tab w:val="right" w:pos="9936"/>
              </w:tabs>
              <w:spacing w:before="23" w:line="251" w:lineRule="exact"/>
              <w:jc w:val="both"/>
              <w:textAlignment w:val="baseline"/>
              <w:rPr>
                <w:b/>
                <w:color w:val="auto"/>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A51282" w:rsidRPr="00A51282" w:rsidRDefault="00A51282" w:rsidP="00A51282">
            <w:pPr>
              <w:tabs>
                <w:tab w:val="left" w:pos="720"/>
                <w:tab w:val="right" w:pos="9936"/>
              </w:tabs>
              <w:spacing w:before="23" w:line="251" w:lineRule="exact"/>
              <w:jc w:val="both"/>
              <w:textAlignment w:val="baseline"/>
              <w:rPr>
                <w:b/>
                <w:color w:val="auto"/>
                <w:sz w:val="22"/>
                <w:szCs w:val="22"/>
              </w:rPr>
            </w:pPr>
          </w:p>
        </w:tc>
      </w:tr>
      <w:tr w:rsidR="00A51282" w:rsidRPr="00A51282" w:rsidTr="00A51282">
        <w:trPr>
          <w:trHeight w:hRule="exact" w:val="1048"/>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A51282" w:rsidRPr="00A51282" w:rsidRDefault="00A51282" w:rsidP="008F5A6F">
            <w:pPr>
              <w:tabs>
                <w:tab w:val="right" w:pos="9936"/>
              </w:tabs>
              <w:spacing w:before="23" w:line="251" w:lineRule="exact"/>
              <w:ind w:left="522" w:hanging="522"/>
              <w:jc w:val="both"/>
              <w:textAlignment w:val="baseline"/>
              <w:rPr>
                <w:rFonts w:ascii="Arial" w:eastAsia="Arial" w:hAnsi="Arial" w:cs="Times New Roman"/>
                <w:b/>
                <w:color w:val="000000"/>
                <w:sz w:val="22"/>
                <w:szCs w:val="22"/>
              </w:rPr>
            </w:pPr>
            <w:r>
              <w:rPr>
                <w:b/>
                <w:color w:val="auto"/>
                <w:sz w:val="22"/>
                <w:szCs w:val="22"/>
              </w:rPr>
              <w:t>Q9:</w:t>
            </w:r>
            <w:r w:rsidR="008F5A6F">
              <w:rPr>
                <w:rFonts w:ascii="Arial" w:eastAsia="Arial" w:hAnsi="Arial" w:cs="Times New Roman"/>
                <w:b/>
                <w:color w:val="000000"/>
                <w:sz w:val="22"/>
                <w:szCs w:val="22"/>
              </w:rPr>
              <w:t xml:space="preserve"> </w:t>
            </w:r>
            <w:r w:rsidRPr="00A51282">
              <w:rPr>
                <w:rFonts w:ascii="Arial" w:eastAsia="Arial" w:hAnsi="Arial" w:cs="Times New Roman"/>
                <w:b/>
                <w:color w:val="000000"/>
                <w:sz w:val="22"/>
                <w:szCs w:val="22"/>
              </w:rPr>
              <w:t>We welcome the views of Controllers as to whether the requirements in relation to the need to car</w:t>
            </w:r>
            <w:r w:rsidR="008F5A6F">
              <w:rPr>
                <w:rFonts w:ascii="Arial" w:eastAsia="Arial" w:hAnsi="Arial" w:cs="Times New Roman"/>
                <w:b/>
                <w:color w:val="000000"/>
                <w:sz w:val="22"/>
                <w:szCs w:val="22"/>
              </w:rPr>
              <w:t>ry out a data protection impact</w:t>
            </w:r>
            <w:r w:rsidRPr="00A51282">
              <w:rPr>
                <w:rFonts w:ascii="Arial" w:eastAsia="Arial" w:hAnsi="Arial" w:cs="Times New Roman"/>
                <w:b/>
                <w:color w:val="000000"/>
                <w:sz w:val="22"/>
                <w:szCs w:val="22"/>
              </w:rPr>
              <w:t>assessment are clear.</w:t>
            </w:r>
          </w:p>
          <w:p w:rsidR="00A51282" w:rsidRPr="00A51282" w:rsidRDefault="00A51282" w:rsidP="00A51282">
            <w:pPr>
              <w:tabs>
                <w:tab w:val="right" w:pos="9936"/>
              </w:tabs>
              <w:spacing w:before="23" w:line="251" w:lineRule="exact"/>
              <w:ind w:left="144"/>
              <w:jc w:val="both"/>
              <w:textAlignment w:val="baseline"/>
              <w:rPr>
                <w:rFonts w:ascii="Arial" w:eastAsia="Arial" w:hAnsi="Arial" w:cs="Times New Roman"/>
                <w:b/>
                <w:color w:val="000000"/>
                <w:sz w:val="22"/>
                <w:szCs w:val="22"/>
              </w:rPr>
            </w:pPr>
          </w:p>
          <w:p w:rsidR="00A51282" w:rsidRPr="00A51282" w:rsidRDefault="00A51282" w:rsidP="00A51282">
            <w:pPr>
              <w:tabs>
                <w:tab w:val="left" w:pos="720"/>
                <w:tab w:val="right" w:pos="9936"/>
              </w:tabs>
              <w:spacing w:before="23" w:line="251" w:lineRule="exact"/>
              <w:jc w:val="both"/>
              <w:textAlignment w:val="baseline"/>
              <w:rPr>
                <w:b/>
                <w:color w:val="auto"/>
                <w:sz w:val="22"/>
                <w:szCs w:val="22"/>
              </w:rPr>
            </w:pPr>
          </w:p>
        </w:tc>
      </w:tr>
      <w:tr w:rsidR="00A51282" w:rsidRPr="00A51282"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A51282" w:rsidRPr="00A51282" w:rsidRDefault="00A51282" w:rsidP="00A51282">
            <w:pPr>
              <w:tabs>
                <w:tab w:val="left" w:pos="720"/>
                <w:tab w:val="right" w:pos="9936"/>
              </w:tabs>
              <w:spacing w:before="23" w:line="251" w:lineRule="exact"/>
              <w:jc w:val="both"/>
              <w:textAlignment w:val="baseline"/>
              <w:rPr>
                <w:b/>
                <w:color w:val="auto"/>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A51282" w:rsidRPr="00A51282" w:rsidRDefault="00A51282" w:rsidP="00A51282">
            <w:pPr>
              <w:tabs>
                <w:tab w:val="left" w:pos="720"/>
                <w:tab w:val="right" w:pos="9936"/>
              </w:tabs>
              <w:spacing w:before="23" w:line="251" w:lineRule="exact"/>
              <w:jc w:val="both"/>
              <w:textAlignment w:val="baseline"/>
              <w:rPr>
                <w:b/>
                <w:color w:val="auto"/>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A51282" w:rsidRPr="00A51282" w:rsidRDefault="00A51282" w:rsidP="00A51282">
            <w:pPr>
              <w:tabs>
                <w:tab w:val="left" w:pos="720"/>
                <w:tab w:val="right" w:pos="9936"/>
              </w:tabs>
              <w:spacing w:before="23" w:line="251" w:lineRule="exact"/>
              <w:jc w:val="both"/>
              <w:textAlignment w:val="baseline"/>
              <w:rPr>
                <w:b/>
                <w:color w:val="auto"/>
                <w:sz w:val="22"/>
                <w:szCs w:val="22"/>
              </w:rPr>
            </w:pPr>
          </w:p>
        </w:tc>
      </w:tr>
      <w:tr w:rsidR="00A51282" w:rsidRPr="00A51282"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A51282" w:rsidRPr="00A51282" w:rsidRDefault="00A51282" w:rsidP="00A51282">
            <w:pPr>
              <w:tabs>
                <w:tab w:val="left" w:pos="720"/>
                <w:tab w:val="right" w:pos="9936"/>
              </w:tabs>
              <w:spacing w:before="23" w:line="251" w:lineRule="exact"/>
              <w:jc w:val="both"/>
              <w:textAlignment w:val="baseline"/>
              <w:rPr>
                <w:b/>
                <w:color w:val="auto"/>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A51282" w:rsidRPr="00A51282" w:rsidRDefault="00A51282" w:rsidP="00A51282">
            <w:pPr>
              <w:tabs>
                <w:tab w:val="left" w:pos="720"/>
                <w:tab w:val="right" w:pos="9936"/>
              </w:tabs>
              <w:spacing w:before="23" w:line="251" w:lineRule="exact"/>
              <w:jc w:val="both"/>
              <w:textAlignment w:val="baseline"/>
              <w:rPr>
                <w:b/>
                <w:color w:val="auto"/>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A51282" w:rsidRPr="00A51282" w:rsidRDefault="00A51282" w:rsidP="00A51282">
            <w:pPr>
              <w:tabs>
                <w:tab w:val="left" w:pos="720"/>
                <w:tab w:val="right" w:pos="9936"/>
              </w:tabs>
              <w:spacing w:before="23" w:line="251" w:lineRule="exact"/>
              <w:jc w:val="both"/>
              <w:textAlignment w:val="baseline"/>
              <w:rPr>
                <w:b/>
                <w:color w:val="auto"/>
                <w:sz w:val="22"/>
                <w:szCs w:val="22"/>
              </w:rPr>
            </w:pPr>
          </w:p>
        </w:tc>
      </w:tr>
      <w:tr w:rsidR="004C5CE7" w:rsidRPr="00A51282"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4C5CE7" w:rsidRPr="00A51282" w:rsidRDefault="004C5CE7" w:rsidP="00A51282">
            <w:pPr>
              <w:tabs>
                <w:tab w:val="left" w:pos="720"/>
                <w:tab w:val="right" w:pos="9936"/>
              </w:tabs>
              <w:spacing w:before="23" w:line="251" w:lineRule="exact"/>
              <w:jc w:val="both"/>
              <w:textAlignment w:val="baseline"/>
              <w:rPr>
                <w:b/>
                <w:color w:val="auto"/>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C5CE7" w:rsidRPr="00A51282" w:rsidRDefault="004C5CE7" w:rsidP="00A51282">
            <w:pPr>
              <w:tabs>
                <w:tab w:val="left" w:pos="720"/>
                <w:tab w:val="right" w:pos="9936"/>
              </w:tabs>
              <w:spacing w:before="23" w:line="251" w:lineRule="exact"/>
              <w:jc w:val="both"/>
              <w:textAlignment w:val="baseline"/>
              <w:rPr>
                <w:b/>
                <w:color w:val="auto"/>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C5CE7" w:rsidRPr="00A51282" w:rsidRDefault="004C5CE7" w:rsidP="00A51282">
            <w:pPr>
              <w:tabs>
                <w:tab w:val="left" w:pos="720"/>
                <w:tab w:val="right" w:pos="9936"/>
              </w:tabs>
              <w:spacing w:before="23" w:line="251" w:lineRule="exact"/>
              <w:jc w:val="both"/>
              <w:textAlignment w:val="baseline"/>
              <w:rPr>
                <w:b/>
                <w:color w:val="auto"/>
                <w:sz w:val="22"/>
                <w:szCs w:val="22"/>
              </w:rPr>
            </w:pPr>
          </w:p>
        </w:tc>
      </w:tr>
      <w:tr w:rsidR="004C5CE7" w:rsidRPr="00A51282" w:rsidTr="004C5CE7">
        <w:trPr>
          <w:trHeight w:hRule="exact" w:val="958"/>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4C5CE7" w:rsidRPr="004C5CE7" w:rsidRDefault="004C5CE7" w:rsidP="008F5A6F">
            <w:pPr>
              <w:tabs>
                <w:tab w:val="right" w:pos="9936"/>
              </w:tabs>
              <w:spacing w:before="23" w:line="251" w:lineRule="exact"/>
              <w:ind w:left="522" w:hanging="522"/>
              <w:jc w:val="both"/>
              <w:textAlignment w:val="baseline"/>
              <w:rPr>
                <w:rFonts w:ascii="Arial" w:eastAsia="Arial" w:hAnsi="Arial" w:cs="Times New Roman"/>
                <w:b/>
                <w:color w:val="000000"/>
                <w:sz w:val="22"/>
                <w:szCs w:val="22"/>
              </w:rPr>
            </w:pPr>
            <w:r>
              <w:rPr>
                <w:b/>
                <w:color w:val="auto"/>
                <w:sz w:val="22"/>
                <w:szCs w:val="22"/>
              </w:rPr>
              <w:t>Q10:</w:t>
            </w:r>
            <w:r w:rsidRPr="004C5CE7">
              <w:rPr>
                <w:rFonts w:ascii="Arial" w:eastAsia="Arial" w:hAnsi="Arial" w:cs="Times New Roman"/>
                <w:b/>
                <w:color w:val="000000"/>
                <w:sz w:val="22"/>
                <w:szCs w:val="22"/>
              </w:rPr>
              <w:t xml:space="preserve"> </w:t>
            </w:r>
            <w:r w:rsidRPr="004C5CE7">
              <w:rPr>
                <w:rFonts w:ascii="Arial" w:eastAsia="Arial" w:hAnsi="Arial" w:cs="Times New Roman"/>
                <w:b/>
                <w:color w:val="000000"/>
                <w:sz w:val="22"/>
                <w:szCs w:val="22"/>
              </w:rPr>
              <w:tab/>
              <w:t>In certain circumstances described in Article 21, a Controller may be required to consult with the Commissioner of Data Protection.  We welcome the views of Controllers as to whether the requirements in relation to the need to consult are clear.</w:t>
            </w:r>
          </w:p>
          <w:p w:rsidR="004C5CE7" w:rsidRPr="00A51282" w:rsidRDefault="004C5CE7" w:rsidP="00A51282">
            <w:pPr>
              <w:tabs>
                <w:tab w:val="left" w:pos="720"/>
                <w:tab w:val="right" w:pos="9936"/>
              </w:tabs>
              <w:spacing w:before="23" w:line="251" w:lineRule="exact"/>
              <w:jc w:val="both"/>
              <w:textAlignment w:val="baseline"/>
              <w:rPr>
                <w:b/>
                <w:color w:val="auto"/>
                <w:sz w:val="22"/>
                <w:szCs w:val="22"/>
              </w:rPr>
            </w:pPr>
          </w:p>
        </w:tc>
      </w:tr>
      <w:tr w:rsidR="004C5CE7" w:rsidRPr="00A51282"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4C5CE7" w:rsidRPr="00A51282" w:rsidRDefault="004C5CE7" w:rsidP="00A51282">
            <w:pPr>
              <w:tabs>
                <w:tab w:val="left" w:pos="720"/>
                <w:tab w:val="right" w:pos="9936"/>
              </w:tabs>
              <w:spacing w:before="23" w:line="251" w:lineRule="exact"/>
              <w:jc w:val="both"/>
              <w:textAlignment w:val="baseline"/>
              <w:rPr>
                <w:b/>
                <w:color w:val="auto"/>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C5CE7" w:rsidRPr="00A51282" w:rsidRDefault="004C5CE7" w:rsidP="00A51282">
            <w:pPr>
              <w:tabs>
                <w:tab w:val="left" w:pos="720"/>
                <w:tab w:val="right" w:pos="9936"/>
              </w:tabs>
              <w:spacing w:before="23" w:line="251" w:lineRule="exact"/>
              <w:jc w:val="both"/>
              <w:textAlignment w:val="baseline"/>
              <w:rPr>
                <w:b/>
                <w:color w:val="auto"/>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C5CE7" w:rsidRPr="00A51282" w:rsidRDefault="004C5CE7" w:rsidP="00A51282">
            <w:pPr>
              <w:tabs>
                <w:tab w:val="left" w:pos="720"/>
                <w:tab w:val="right" w:pos="9936"/>
              </w:tabs>
              <w:spacing w:before="23" w:line="251" w:lineRule="exact"/>
              <w:jc w:val="both"/>
              <w:textAlignment w:val="baseline"/>
              <w:rPr>
                <w:b/>
                <w:color w:val="auto"/>
                <w:sz w:val="22"/>
                <w:szCs w:val="22"/>
              </w:rPr>
            </w:pPr>
          </w:p>
        </w:tc>
      </w:tr>
      <w:tr w:rsidR="00055AD2" w:rsidRPr="00A51282"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5AD2" w:rsidRPr="00A51282" w:rsidRDefault="00055AD2" w:rsidP="00A51282">
            <w:pPr>
              <w:tabs>
                <w:tab w:val="left" w:pos="720"/>
                <w:tab w:val="right" w:pos="9936"/>
              </w:tabs>
              <w:spacing w:before="23" w:line="251" w:lineRule="exact"/>
              <w:jc w:val="both"/>
              <w:textAlignment w:val="baseline"/>
              <w:rPr>
                <w:b/>
                <w:color w:val="auto"/>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Pr="00A51282" w:rsidRDefault="00055AD2" w:rsidP="00A51282">
            <w:pPr>
              <w:tabs>
                <w:tab w:val="left" w:pos="720"/>
                <w:tab w:val="right" w:pos="9936"/>
              </w:tabs>
              <w:spacing w:before="23" w:line="251" w:lineRule="exact"/>
              <w:jc w:val="both"/>
              <w:textAlignment w:val="baseline"/>
              <w:rPr>
                <w:b/>
                <w:color w:val="auto"/>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Pr="00A51282" w:rsidRDefault="00055AD2" w:rsidP="00A51282">
            <w:pPr>
              <w:tabs>
                <w:tab w:val="left" w:pos="720"/>
                <w:tab w:val="right" w:pos="9936"/>
              </w:tabs>
              <w:spacing w:before="23" w:line="251" w:lineRule="exact"/>
              <w:jc w:val="both"/>
              <w:textAlignment w:val="baseline"/>
              <w:rPr>
                <w:b/>
                <w:color w:val="auto"/>
                <w:sz w:val="22"/>
                <w:szCs w:val="22"/>
              </w:rPr>
            </w:pPr>
          </w:p>
        </w:tc>
      </w:tr>
      <w:tr w:rsidR="00055AD2" w:rsidRPr="00A51282"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5AD2" w:rsidRPr="00A51282" w:rsidRDefault="00055AD2" w:rsidP="00A51282">
            <w:pPr>
              <w:tabs>
                <w:tab w:val="left" w:pos="720"/>
                <w:tab w:val="right" w:pos="9936"/>
              </w:tabs>
              <w:spacing w:before="23" w:line="251" w:lineRule="exact"/>
              <w:jc w:val="both"/>
              <w:textAlignment w:val="baseline"/>
              <w:rPr>
                <w:b/>
                <w:color w:val="auto"/>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Pr="00A51282" w:rsidRDefault="00055AD2" w:rsidP="00A51282">
            <w:pPr>
              <w:tabs>
                <w:tab w:val="left" w:pos="720"/>
                <w:tab w:val="right" w:pos="9936"/>
              </w:tabs>
              <w:spacing w:before="23" w:line="251" w:lineRule="exact"/>
              <w:jc w:val="both"/>
              <w:textAlignment w:val="baseline"/>
              <w:rPr>
                <w:b/>
                <w:color w:val="auto"/>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Pr="00A51282" w:rsidRDefault="00055AD2" w:rsidP="00A51282">
            <w:pPr>
              <w:tabs>
                <w:tab w:val="left" w:pos="720"/>
                <w:tab w:val="right" w:pos="9936"/>
              </w:tabs>
              <w:spacing w:before="23" w:line="251" w:lineRule="exact"/>
              <w:jc w:val="both"/>
              <w:textAlignment w:val="baseline"/>
              <w:rPr>
                <w:b/>
                <w:color w:val="auto"/>
                <w:sz w:val="22"/>
                <w:szCs w:val="22"/>
              </w:rPr>
            </w:pPr>
          </w:p>
        </w:tc>
      </w:tr>
      <w:tr w:rsidR="0080135E" w:rsidRPr="00D41215" w:rsidTr="00DC2D79">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80135E" w:rsidRPr="004E568E" w:rsidRDefault="00055AD2" w:rsidP="000C5C06">
            <w:pPr>
              <w:pStyle w:val="TableHeader"/>
              <w:rPr>
                <w:bCs/>
                <w:color w:val="auto"/>
                <w:szCs w:val="2"/>
              </w:rPr>
            </w:pPr>
            <w:r>
              <w:rPr>
                <w:bCs/>
                <w:color w:val="auto"/>
                <w:szCs w:val="2"/>
              </w:rPr>
              <w:t>Cessation of Processing (Article 22)</w:t>
            </w:r>
          </w:p>
        </w:tc>
      </w:tr>
      <w:tr w:rsidR="0080135E" w:rsidRPr="00D41215" w:rsidTr="00055AD2">
        <w:trPr>
          <w:trHeight w:hRule="exact" w:val="2659"/>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055AD2" w:rsidRPr="00055AD2" w:rsidRDefault="00055AD2" w:rsidP="008F5A6F">
            <w:pPr>
              <w:tabs>
                <w:tab w:val="left" w:pos="714"/>
                <w:tab w:val="right" w:pos="9936"/>
              </w:tabs>
              <w:spacing w:before="23" w:line="251" w:lineRule="exact"/>
              <w:ind w:left="612" w:hanging="612"/>
              <w:textAlignment w:val="baseline"/>
              <w:rPr>
                <w:rFonts w:ascii="Arial" w:eastAsia="Arial" w:hAnsi="Arial" w:cs="Times New Roman"/>
                <w:b/>
                <w:color w:val="000000"/>
                <w:sz w:val="22"/>
                <w:szCs w:val="22"/>
              </w:rPr>
            </w:pPr>
            <w:r>
              <w:rPr>
                <w:b/>
                <w:color w:val="auto"/>
                <w:sz w:val="22"/>
                <w:szCs w:val="22"/>
                <w:lang w:val="en-GB"/>
              </w:rPr>
              <w:t>Q11</w:t>
            </w:r>
            <w:r w:rsidR="00FC741C">
              <w:rPr>
                <w:b/>
                <w:color w:val="auto"/>
                <w:sz w:val="22"/>
                <w:szCs w:val="22"/>
                <w:lang w:val="en-GB"/>
              </w:rPr>
              <w:t xml:space="preserve">: </w:t>
            </w:r>
            <w:r w:rsidRPr="00055AD2">
              <w:rPr>
                <w:rFonts w:ascii="Arial" w:eastAsia="Arial" w:hAnsi="Arial" w:cs="Times New Roman"/>
                <w:b/>
                <w:color w:val="000000"/>
                <w:sz w:val="22"/>
                <w:szCs w:val="22"/>
              </w:rPr>
              <w:t xml:space="preserve">The concept of putting data "beyond further use" is included in recognition of the fact that some storage systems, Processing methods or technologies which can legitimately be used present difficulties when it comes to permanent and complete deletion of data.  </w:t>
            </w:r>
          </w:p>
          <w:p w:rsidR="00055AD2" w:rsidRPr="00055AD2" w:rsidRDefault="00055AD2" w:rsidP="00055AD2">
            <w:pPr>
              <w:tabs>
                <w:tab w:val="right" w:pos="9936"/>
              </w:tabs>
              <w:spacing w:before="23" w:line="251" w:lineRule="exact"/>
              <w:ind w:left="144"/>
              <w:textAlignment w:val="baseline"/>
              <w:rPr>
                <w:rFonts w:ascii="Arial" w:eastAsia="Arial" w:hAnsi="Arial" w:cs="Times New Roman"/>
                <w:b/>
                <w:color w:val="000000"/>
                <w:sz w:val="22"/>
                <w:szCs w:val="22"/>
              </w:rPr>
            </w:pPr>
          </w:p>
          <w:p w:rsidR="00055AD2" w:rsidRPr="00055AD2" w:rsidRDefault="008F5A6F" w:rsidP="008F5A6F">
            <w:pPr>
              <w:tabs>
                <w:tab w:val="right" w:pos="9936"/>
              </w:tabs>
              <w:spacing w:before="23" w:line="251" w:lineRule="exact"/>
              <w:ind w:left="522" w:hanging="522"/>
              <w:textAlignment w:val="baseline"/>
              <w:rPr>
                <w:rFonts w:ascii="Arial" w:eastAsia="Arial" w:hAnsi="Arial" w:cs="Times New Roman"/>
                <w:b/>
                <w:color w:val="000000"/>
                <w:sz w:val="22"/>
                <w:szCs w:val="22"/>
              </w:rPr>
            </w:pPr>
            <w:r>
              <w:rPr>
                <w:rFonts w:ascii="Arial" w:eastAsia="Arial" w:hAnsi="Arial" w:cs="Times New Roman"/>
                <w:b/>
                <w:color w:val="000000"/>
                <w:sz w:val="22"/>
                <w:szCs w:val="22"/>
              </w:rPr>
              <w:tab/>
            </w:r>
            <w:r w:rsidR="00055AD2" w:rsidRPr="00055AD2">
              <w:rPr>
                <w:rFonts w:ascii="Arial" w:eastAsia="Arial" w:hAnsi="Arial" w:cs="Times New Roman"/>
                <w:b/>
                <w:color w:val="000000"/>
                <w:sz w:val="22"/>
                <w:szCs w:val="22"/>
              </w:rPr>
              <w:t xml:space="preserve">We welcome opinions from Controllers as to whether the definition of "beyond further use" in Article 22(2) is clear. </w:t>
            </w:r>
          </w:p>
          <w:p w:rsidR="00E25288" w:rsidRPr="00055AD2" w:rsidRDefault="00E25288" w:rsidP="00055AD2">
            <w:pPr>
              <w:pStyle w:val="BodyText"/>
              <w:tabs>
                <w:tab w:val="left" w:pos="426"/>
              </w:tabs>
              <w:kinsoku w:val="0"/>
              <w:overflowPunct w:val="0"/>
              <w:autoSpaceDE w:val="0"/>
              <w:autoSpaceDN w:val="0"/>
              <w:spacing w:after="0"/>
              <w:ind w:left="432" w:hanging="432"/>
              <w:rPr>
                <w:b/>
                <w:color w:val="auto"/>
                <w:sz w:val="22"/>
                <w:szCs w:val="22"/>
              </w:rPr>
            </w:pPr>
          </w:p>
          <w:p w:rsidR="0080135E" w:rsidRPr="00FC741C" w:rsidRDefault="008F5A6F" w:rsidP="00055AD2">
            <w:pPr>
              <w:pStyle w:val="BodyText"/>
              <w:tabs>
                <w:tab w:val="left" w:pos="426"/>
              </w:tabs>
              <w:kinsoku w:val="0"/>
              <w:overflowPunct w:val="0"/>
              <w:autoSpaceDE w:val="0"/>
              <w:autoSpaceDN w:val="0"/>
              <w:spacing w:after="0"/>
              <w:rPr>
                <w:color w:val="auto"/>
                <w:sz w:val="22"/>
                <w:szCs w:val="22"/>
                <w:lang w:val="en-GB"/>
              </w:rPr>
            </w:pPr>
            <w:r>
              <w:rPr>
                <w:rFonts w:ascii="Arial" w:eastAsia="Arial" w:hAnsi="Arial" w:cs="Times New Roman"/>
                <w:b/>
                <w:color w:val="000000"/>
                <w:sz w:val="22"/>
                <w:szCs w:val="22"/>
              </w:rPr>
              <w:tab/>
            </w:r>
            <w:r w:rsidR="00055AD2" w:rsidRPr="00055AD2">
              <w:rPr>
                <w:rFonts w:ascii="Arial" w:eastAsia="Arial" w:hAnsi="Arial" w:cs="Times New Roman"/>
                <w:b/>
                <w:color w:val="000000"/>
                <w:sz w:val="22"/>
                <w:szCs w:val="22"/>
              </w:rPr>
              <w:t xml:space="preserve">We would like to hear from Controllers currently Processing Personal Data who believe that such Personal Data can be neither deleted </w:t>
            </w:r>
            <w:r>
              <w:rPr>
                <w:rFonts w:ascii="Arial" w:eastAsia="Arial" w:hAnsi="Arial" w:cs="Times New Roman"/>
                <w:b/>
                <w:color w:val="000000"/>
                <w:sz w:val="22"/>
                <w:szCs w:val="22"/>
              </w:rPr>
              <w:tab/>
            </w:r>
            <w:r w:rsidR="00055AD2" w:rsidRPr="00055AD2">
              <w:rPr>
                <w:rFonts w:ascii="Arial" w:eastAsia="Arial" w:hAnsi="Arial" w:cs="Times New Roman"/>
                <w:b/>
                <w:color w:val="000000"/>
                <w:sz w:val="22"/>
                <w:szCs w:val="22"/>
              </w:rPr>
              <w:t xml:space="preserve">nor put "beyond further use" (as defined) when the basis for Processing ceases to exist.  We would be keen to understand such </w:t>
            </w:r>
            <w:r>
              <w:rPr>
                <w:rFonts w:ascii="Arial" w:eastAsia="Arial" w:hAnsi="Arial" w:cs="Times New Roman"/>
                <w:b/>
                <w:color w:val="000000"/>
                <w:sz w:val="22"/>
                <w:szCs w:val="22"/>
              </w:rPr>
              <w:tab/>
            </w:r>
            <w:r w:rsidR="00055AD2" w:rsidRPr="00055AD2">
              <w:rPr>
                <w:rFonts w:ascii="Arial" w:eastAsia="Arial" w:hAnsi="Arial" w:cs="Times New Roman"/>
                <w:b/>
                <w:color w:val="000000"/>
                <w:sz w:val="22"/>
                <w:szCs w:val="22"/>
              </w:rPr>
              <w:t xml:space="preserve">circumstances in more detail and request Controllers to provide as much information as possible (respecting confidentiality and privacy); </w:t>
            </w:r>
            <w:r>
              <w:rPr>
                <w:rFonts w:ascii="Arial" w:eastAsia="Arial" w:hAnsi="Arial" w:cs="Times New Roman"/>
                <w:b/>
                <w:color w:val="000000"/>
                <w:sz w:val="22"/>
                <w:szCs w:val="22"/>
              </w:rPr>
              <w:tab/>
            </w:r>
            <w:r w:rsidR="00055AD2" w:rsidRPr="00055AD2">
              <w:rPr>
                <w:rFonts w:ascii="Arial" w:eastAsia="Arial" w:hAnsi="Arial" w:cs="Times New Roman"/>
                <w:b/>
                <w:color w:val="000000"/>
                <w:sz w:val="22"/>
                <w:szCs w:val="22"/>
              </w:rPr>
              <w:t>alternatively, we would be happy to discuss such matters directly with Controllers.</w:t>
            </w: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0C5C06">
            <w:pPr>
              <w:pStyle w:val="TableHeader"/>
              <w:rPr>
                <w:bCs/>
                <w:color w:val="auto"/>
                <w:szCs w:val="2"/>
              </w:rPr>
            </w:pPr>
          </w:p>
        </w:tc>
      </w:tr>
      <w:tr w:rsidR="00055AD2"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5AD2" w:rsidRPr="004E568E"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Pr="004E568E"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Pr="004E568E" w:rsidRDefault="00055AD2" w:rsidP="000C5C06">
            <w:pPr>
              <w:pStyle w:val="TableHeader"/>
              <w:rPr>
                <w:bCs/>
                <w:color w:val="auto"/>
                <w:szCs w:val="2"/>
              </w:rPr>
            </w:pPr>
          </w:p>
        </w:tc>
      </w:tr>
      <w:tr w:rsidR="00055AD2" w:rsidRPr="004E568E" w:rsidTr="00FA1D5A">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055AD2" w:rsidRPr="004E568E" w:rsidRDefault="00055AD2" w:rsidP="00FA1D5A">
            <w:pPr>
              <w:pStyle w:val="TableHeader"/>
              <w:rPr>
                <w:bCs/>
                <w:color w:val="auto"/>
                <w:szCs w:val="2"/>
              </w:rPr>
            </w:pPr>
            <w:r>
              <w:rPr>
                <w:bCs/>
                <w:color w:val="auto"/>
                <w:szCs w:val="2"/>
              </w:rPr>
              <w:t>Joint Controllers (Article 23)</w:t>
            </w:r>
          </w:p>
        </w:tc>
      </w:tr>
      <w:tr w:rsidR="00055AD2" w:rsidRPr="00D41215" w:rsidTr="009521AC">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055AD2" w:rsidRPr="004E568E" w:rsidRDefault="00055AD2" w:rsidP="000C5C06">
            <w:pPr>
              <w:pStyle w:val="TableHeader"/>
              <w:rPr>
                <w:bCs/>
                <w:color w:val="auto"/>
                <w:szCs w:val="2"/>
              </w:rPr>
            </w:pPr>
            <w:r w:rsidRPr="00055AD2">
              <w:rPr>
                <w:rFonts w:ascii="Arial" w:eastAsia="Arial" w:hAnsi="Arial" w:cs="Times New Roman"/>
                <w:color w:val="000000"/>
                <w:szCs w:val="22"/>
              </w:rPr>
              <w:t>Q12. Controllers who believe they may be Joint Controllers may provide comments on Article 23.</w:t>
            </w:r>
          </w:p>
        </w:tc>
      </w:tr>
      <w:tr w:rsidR="00055AD2" w:rsidRPr="00D41215" w:rsidTr="00055AD2">
        <w:trPr>
          <w:trHeight w:hRule="exact" w:val="616"/>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5AD2" w:rsidRPr="00FC741C" w:rsidRDefault="00055AD2" w:rsidP="00E25288">
            <w:pPr>
              <w:pStyle w:val="BodyText"/>
              <w:tabs>
                <w:tab w:val="left" w:pos="426"/>
              </w:tabs>
              <w:kinsoku w:val="0"/>
              <w:overflowPunct w:val="0"/>
              <w:autoSpaceDE w:val="0"/>
              <w:autoSpaceDN w:val="0"/>
              <w:spacing w:after="0"/>
              <w:rPr>
                <w:color w:val="auto"/>
                <w:sz w:val="22"/>
                <w:szCs w:val="22"/>
                <w:lang w:val="en-GB"/>
              </w:rPr>
            </w:pPr>
          </w:p>
        </w:tc>
        <w:tc>
          <w:tcPr>
            <w:tcW w:w="14400" w:type="dxa"/>
            <w:gridSpan w:val="2"/>
            <w:tcBorders>
              <w:top w:val="single" w:sz="4" w:space="0" w:color="auto"/>
              <w:left w:val="single" w:sz="4" w:space="0" w:color="auto"/>
              <w:bottom w:val="single" w:sz="4" w:space="0" w:color="auto"/>
              <w:right w:val="single" w:sz="4" w:space="0" w:color="auto"/>
            </w:tcBorders>
            <w:shd w:val="clear" w:color="auto" w:fill="auto"/>
          </w:tcPr>
          <w:p w:rsidR="00055AD2" w:rsidRPr="00FC741C" w:rsidRDefault="00055AD2" w:rsidP="00E25288">
            <w:pPr>
              <w:pStyle w:val="BodyText"/>
              <w:tabs>
                <w:tab w:val="left" w:pos="426"/>
              </w:tabs>
              <w:kinsoku w:val="0"/>
              <w:overflowPunct w:val="0"/>
              <w:autoSpaceDE w:val="0"/>
              <w:autoSpaceDN w:val="0"/>
              <w:spacing w:after="0"/>
              <w:rPr>
                <w:color w:val="auto"/>
                <w:sz w:val="22"/>
                <w:szCs w:val="22"/>
                <w:lang w:val="en-GB"/>
              </w:rPr>
            </w:pPr>
          </w:p>
        </w:tc>
      </w:tr>
      <w:tr w:rsidR="00E25288"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r>
      <w:tr w:rsidR="00055AD2" w:rsidRPr="004E568E" w:rsidTr="00FA1D5A">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055AD2" w:rsidRPr="004E568E" w:rsidRDefault="00055AD2" w:rsidP="00FA1D5A">
            <w:pPr>
              <w:pStyle w:val="TableHeader"/>
              <w:rPr>
                <w:bCs/>
                <w:color w:val="auto"/>
                <w:szCs w:val="2"/>
              </w:rPr>
            </w:pPr>
            <w:r>
              <w:rPr>
                <w:bCs/>
                <w:color w:val="auto"/>
                <w:szCs w:val="2"/>
              </w:rPr>
              <w:t>Processors (Article 24)</w:t>
            </w:r>
          </w:p>
        </w:tc>
      </w:tr>
      <w:tr w:rsidR="00055AD2" w:rsidRPr="00D41215" w:rsidTr="00055AD2">
        <w:trPr>
          <w:trHeight w:hRule="exact" w:val="1939"/>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055AD2" w:rsidRPr="00055AD2" w:rsidRDefault="00055AD2" w:rsidP="00055AD2">
            <w:pPr>
              <w:tabs>
                <w:tab w:val="right" w:pos="9936"/>
              </w:tabs>
              <w:spacing w:before="23" w:line="251" w:lineRule="exact"/>
              <w:jc w:val="both"/>
              <w:textAlignment w:val="baseline"/>
              <w:rPr>
                <w:rFonts w:ascii="Arial" w:eastAsia="Arial" w:hAnsi="Arial" w:cs="Times New Roman"/>
                <w:b/>
                <w:color w:val="000000"/>
                <w:sz w:val="22"/>
                <w:szCs w:val="22"/>
              </w:rPr>
            </w:pPr>
            <w:r w:rsidRPr="00055AD2">
              <w:rPr>
                <w:rFonts w:ascii="Arial" w:eastAsia="Arial" w:hAnsi="Arial" w:cs="Times New Roman"/>
                <w:b/>
                <w:color w:val="000000"/>
                <w:sz w:val="22"/>
                <w:szCs w:val="22"/>
              </w:rPr>
              <w:t>As written, from the moment the Proposed Law becomes effective, the Proposed Law provides that all arrangements between Controllers and Processors must comply with Article 24 otherwise such parties will be in violation of the Proposed Law.  It is acknowledged that this presents problems with respect to arrangements already in place before the Proposed Law becomes effective.  In Europe, for example, much time and effort was spent "remediating" existing contracts for GDPR, sometimes with uncertain legal results (where both suppliers and customers purported to impose their own terms).  Ultimately, it is not (usually) wholly within the gift of a single party to amend the terms of an agreement so even parties which conscientiously sought to comply with updated international data protection laws such as the GDPR could not ensure their own compliance in the absence of agreement from counterparties.</w:t>
            </w:r>
          </w:p>
          <w:p w:rsidR="00055AD2" w:rsidRPr="004E568E" w:rsidRDefault="00055AD2" w:rsidP="000C5C06">
            <w:pPr>
              <w:pStyle w:val="TableHeader"/>
              <w:rPr>
                <w:bCs/>
                <w:color w:val="auto"/>
                <w:szCs w:val="2"/>
              </w:rPr>
            </w:pPr>
          </w:p>
        </w:tc>
      </w:tr>
      <w:tr w:rsidR="00055AD2" w:rsidRPr="00D41215" w:rsidTr="00055AD2">
        <w:trPr>
          <w:trHeight w:hRule="exact" w:val="1588"/>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055AD2" w:rsidRPr="00055AD2" w:rsidRDefault="00055AD2" w:rsidP="007B3941">
            <w:pPr>
              <w:tabs>
                <w:tab w:val="right" w:pos="9936"/>
              </w:tabs>
              <w:spacing w:before="23" w:line="251" w:lineRule="exact"/>
              <w:ind w:left="612" w:hanging="612"/>
              <w:jc w:val="both"/>
              <w:textAlignment w:val="baseline"/>
              <w:rPr>
                <w:rFonts w:ascii="Arial" w:eastAsia="Arial" w:hAnsi="Arial" w:cs="Times New Roman"/>
                <w:b/>
                <w:color w:val="000000"/>
                <w:sz w:val="22"/>
                <w:szCs w:val="22"/>
              </w:rPr>
            </w:pPr>
            <w:r w:rsidRPr="00055AD2">
              <w:rPr>
                <w:b/>
                <w:color w:val="auto"/>
                <w:sz w:val="22"/>
                <w:szCs w:val="22"/>
              </w:rPr>
              <w:t>Q13:</w:t>
            </w:r>
            <w:r w:rsidRPr="00055AD2">
              <w:rPr>
                <w:b/>
                <w:color w:val="auto"/>
                <w:szCs w:val="2"/>
              </w:rPr>
              <w:t xml:space="preserve"> </w:t>
            </w:r>
            <w:r w:rsidRPr="00055AD2">
              <w:rPr>
                <w:rFonts w:ascii="Arial" w:eastAsia="Arial" w:hAnsi="Arial" w:cs="Times New Roman"/>
                <w:b/>
                <w:color w:val="000000"/>
                <w:sz w:val="22"/>
                <w:szCs w:val="22"/>
              </w:rPr>
              <w:t xml:space="preserve">As noted, the Commissioner of Data Protection may publish model contract clauses to assist Controllers and Processors. Could Controllers and Processors please confirm if the publication of model clauses by the Commissioner of Data Protection would be helpful – in principle – in ensuring a smooth process of contract amendment without the need for a "battle of the forms" or for protracted negotiations?  Such clauses would not address liability limitations or exclusions. </w:t>
            </w:r>
          </w:p>
          <w:p w:rsidR="00055AD2" w:rsidRPr="004E568E" w:rsidRDefault="00055AD2" w:rsidP="000C5C06">
            <w:pPr>
              <w:pStyle w:val="TableHeader"/>
              <w:rPr>
                <w:bCs/>
                <w:color w:val="auto"/>
                <w:szCs w:val="2"/>
              </w:rPr>
            </w:pPr>
          </w:p>
        </w:tc>
      </w:tr>
      <w:tr w:rsidR="00055AD2"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5AD2" w:rsidRPr="004E568E"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Pr="004E568E"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Pr="004E568E" w:rsidRDefault="00055AD2" w:rsidP="000C5C06">
            <w:pPr>
              <w:pStyle w:val="TableHeader"/>
              <w:rPr>
                <w:bCs/>
                <w:color w:val="auto"/>
                <w:szCs w:val="2"/>
              </w:rPr>
            </w:pPr>
          </w:p>
        </w:tc>
      </w:tr>
      <w:tr w:rsidR="00055AD2"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5AD2" w:rsidRPr="004E568E"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Pr="004E568E"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Pr="004E568E" w:rsidRDefault="00055AD2" w:rsidP="000C5C06">
            <w:pPr>
              <w:pStyle w:val="TableHeader"/>
              <w:rPr>
                <w:bCs/>
                <w:color w:val="auto"/>
                <w:szCs w:val="2"/>
              </w:rPr>
            </w:pPr>
          </w:p>
        </w:tc>
      </w:tr>
      <w:tr w:rsidR="00055AD2" w:rsidRPr="00D41215" w:rsidTr="00055AD2">
        <w:trPr>
          <w:trHeight w:hRule="exact" w:val="3136"/>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055AD2" w:rsidRPr="00055AD2" w:rsidRDefault="00055AD2" w:rsidP="007B3941">
            <w:pPr>
              <w:tabs>
                <w:tab w:val="left" w:pos="900"/>
                <w:tab w:val="right" w:pos="9936"/>
              </w:tabs>
              <w:spacing w:before="23" w:line="251" w:lineRule="exact"/>
              <w:ind w:left="612" w:hanging="612"/>
              <w:jc w:val="both"/>
              <w:textAlignment w:val="baseline"/>
              <w:rPr>
                <w:rFonts w:ascii="Arial" w:eastAsia="Arial" w:hAnsi="Arial" w:cs="Times New Roman"/>
                <w:b/>
                <w:color w:val="000000"/>
                <w:sz w:val="22"/>
                <w:szCs w:val="22"/>
              </w:rPr>
            </w:pPr>
            <w:r>
              <w:rPr>
                <w:rFonts w:ascii="Arial" w:eastAsia="Arial" w:hAnsi="Arial" w:cs="Times New Roman"/>
                <w:b/>
                <w:color w:val="000000"/>
                <w:sz w:val="22"/>
                <w:szCs w:val="22"/>
              </w:rPr>
              <w:t xml:space="preserve">Q14: </w:t>
            </w:r>
            <w:r w:rsidRPr="00055AD2">
              <w:rPr>
                <w:rFonts w:ascii="Arial" w:eastAsia="Arial" w:hAnsi="Arial" w:cs="Times New Roman"/>
                <w:b/>
                <w:color w:val="000000"/>
                <w:sz w:val="22"/>
                <w:szCs w:val="22"/>
              </w:rPr>
              <w:t xml:space="preserve">We are prepared to consider a reasonable transitional period during which existing agreements would not be deemed to be in violation of the Proposed Law, subject to suitable parameters.  We would certainly expect significant Processing agreements (where high volumes of Personal Data are involved, where Special Categories of Personal Data are involved or where the Processing is high-risk for some other reason) to be amended to ensure compliance as soon as possible.  We welcome comments from both Controllers and Processors on the following: </w:t>
            </w:r>
          </w:p>
          <w:p w:rsidR="00055AD2" w:rsidRPr="00055AD2" w:rsidRDefault="00055AD2" w:rsidP="00055AD2">
            <w:pPr>
              <w:tabs>
                <w:tab w:val="right" w:pos="9936"/>
              </w:tabs>
              <w:spacing w:before="23" w:line="251" w:lineRule="exact"/>
              <w:ind w:left="900"/>
              <w:textAlignment w:val="baseline"/>
              <w:rPr>
                <w:rFonts w:ascii="Arial" w:eastAsia="Arial" w:hAnsi="Arial" w:cs="Times New Roman"/>
                <w:b/>
                <w:color w:val="000000"/>
                <w:sz w:val="22"/>
                <w:szCs w:val="22"/>
              </w:rPr>
            </w:pPr>
            <w:r w:rsidRPr="00055AD2">
              <w:rPr>
                <w:rFonts w:ascii="Arial" w:eastAsia="Arial" w:hAnsi="Arial" w:cs="Times New Roman"/>
                <w:b/>
                <w:color w:val="000000"/>
                <w:sz w:val="22"/>
                <w:szCs w:val="22"/>
              </w:rPr>
              <w:t xml:space="preserve">- </w:t>
            </w:r>
            <w:r w:rsidRPr="00055AD2">
              <w:rPr>
                <w:rFonts w:ascii="Arial" w:eastAsia="Arial" w:hAnsi="Arial" w:cs="Times New Roman"/>
                <w:b/>
                <w:color w:val="000000"/>
                <w:sz w:val="22"/>
                <w:szCs w:val="22"/>
              </w:rPr>
              <w:tab/>
              <w:t>the number of arrangements that the party believes they would need to address (to allow us to form a view of the compliance burden on such parties);</w:t>
            </w:r>
          </w:p>
          <w:p w:rsidR="00055AD2" w:rsidRPr="00055AD2" w:rsidRDefault="00055AD2" w:rsidP="00055AD2">
            <w:pPr>
              <w:tabs>
                <w:tab w:val="right" w:pos="9936"/>
              </w:tabs>
              <w:spacing w:before="23" w:line="251" w:lineRule="exact"/>
              <w:ind w:left="900"/>
              <w:textAlignment w:val="baseline"/>
              <w:rPr>
                <w:rFonts w:ascii="Arial" w:eastAsia="Arial" w:hAnsi="Arial" w:cs="Times New Roman"/>
                <w:b/>
                <w:color w:val="000000"/>
                <w:sz w:val="22"/>
                <w:szCs w:val="22"/>
              </w:rPr>
            </w:pPr>
            <w:r w:rsidRPr="00055AD2">
              <w:rPr>
                <w:rFonts w:ascii="Arial" w:eastAsia="Arial" w:hAnsi="Arial" w:cs="Times New Roman"/>
                <w:b/>
                <w:color w:val="000000"/>
                <w:sz w:val="22"/>
                <w:szCs w:val="22"/>
              </w:rPr>
              <w:t>- what proportion of the arrangements are significant Processing arrangements;</w:t>
            </w:r>
          </w:p>
          <w:p w:rsidR="00055AD2" w:rsidRDefault="00055AD2" w:rsidP="00055AD2">
            <w:pPr>
              <w:tabs>
                <w:tab w:val="right" w:pos="9936"/>
              </w:tabs>
              <w:spacing w:before="23" w:line="251" w:lineRule="exact"/>
              <w:ind w:left="900"/>
              <w:textAlignment w:val="baseline"/>
              <w:rPr>
                <w:rFonts w:ascii="Arial" w:eastAsia="Arial" w:hAnsi="Arial" w:cs="Times New Roman"/>
                <w:b/>
                <w:color w:val="000000"/>
                <w:sz w:val="22"/>
                <w:szCs w:val="22"/>
              </w:rPr>
            </w:pPr>
            <w:r w:rsidRPr="00055AD2">
              <w:rPr>
                <w:rFonts w:ascii="Arial" w:eastAsia="Arial" w:hAnsi="Arial" w:cs="Times New Roman"/>
                <w:b/>
                <w:color w:val="000000"/>
                <w:sz w:val="22"/>
                <w:szCs w:val="22"/>
              </w:rPr>
              <w:t xml:space="preserve">- what proportion of the arrangements are long-term (i.e. are not due to expire </w:t>
            </w:r>
            <w:r w:rsidRPr="00055AD2">
              <w:rPr>
                <w:rFonts w:ascii="Arial" w:eastAsia="Arial" w:hAnsi="Arial" w:cs="Times New Roman"/>
                <w:b/>
                <w:color w:val="000000"/>
                <w:sz w:val="22"/>
                <w:szCs w:val="22"/>
              </w:rPr>
              <w:tab/>
              <w:t>within the next 12 months)?</w:t>
            </w:r>
          </w:p>
          <w:p w:rsidR="00055AD2" w:rsidRPr="00055AD2" w:rsidRDefault="00055AD2" w:rsidP="00055AD2">
            <w:pPr>
              <w:tabs>
                <w:tab w:val="right" w:pos="9936"/>
              </w:tabs>
              <w:spacing w:before="23" w:line="251" w:lineRule="exact"/>
              <w:ind w:left="900"/>
              <w:textAlignment w:val="baseline"/>
              <w:rPr>
                <w:rFonts w:ascii="Arial" w:eastAsia="Arial" w:hAnsi="Arial" w:cs="Times New Roman"/>
                <w:b/>
                <w:color w:val="000000"/>
                <w:sz w:val="22"/>
                <w:szCs w:val="22"/>
              </w:rPr>
            </w:pPr>
          </w:p>
          <w:p w:rsidR="00055AD2" w:rsidRPr="004E568E" w:rsidRDefault="00055AD2" w:rsidP="00055AD2">
            <w:pPr>
              <w:pStyle w:val="TableHeader"/>
              <w:rPr>
                <w:bCs/>
                <w:color w:val="auto"/>
                <w:szCs w:val="2"/>
              </w:rPr>
            </w:pPr>
            <w:r w:rsidRPr="00055AD2">
              <w:rPr>
                <w:rFonts w:ascii="Arial" w:eastAsia="Arial" w:hAnsi="Arial" w:cs="Times New Roman"/>
                <w:color w:val="000000"/>
                <w:szCs w:val="22"/>
              </w:rPr>
              <w:t>We also welcome comments on whether a transitional period would be helpful.</w:t>
            </w:r>
          </w:p>
        </w:tc>
      </w:tr>
      <w:tr w:rsidR="00055AD2"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5AD2" w:rsidRPr="004E568E"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Pr="004E568E"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Pr="004E568E" w:rsidRDefault="00055AD2" w:rsidP="000C5C06">
            <w:pPr>
              <w:pStyle w:val="TableHeader"/>
              <w:rPr>
                <w:bCs/>
                <w:color w:val="auto"/>
                <w:szCs w:val="2"/>
              </w:rPr>
            </w:pPr>
          </w:p>
        </w:tc>
      </w:tr>
      <w:tr w:rsidR="00055AD2"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5AD2" w:rsidRPr="004E568E"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Pr="004E568E"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Pr="004E568E" w:rsidRDefault="00055AD2" w:rsidP="000C5C06">
            <w:pPr>
              <w:pStyle w:val="TableHeader"/>
              <w:rPr>
                <w:bCs/>
                <w:color w:val="auto"/>
                <w:szCs w:val="2"/>
              </w:rPr>
            </w:pPr>
          </w:p>
        </w:tc>
      </w:tr>
      <w:tr w:rsidR="00055AD2"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5AD2" w:rsidRPr="004E568E"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Pr="004E568E"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Pr="004E568E" w:rsidRDefault="00055AD2" w:rsidP="000C5C06">
            <w:pPr>
              <w:pStyle w:val="TableHeader"/>
              <w:rPr>
                <w:bCs/>
                <w:color w:val="auto"/>
                <w:szCs w:val="2"/>
              </w:rPr>
            </w:pPr>
          </w:p>
        </w:tc>
      </w:tr>
      <w:tr w:rsidR="00055AD2" w:rsidRPr="004E568E" w:rsidTr="00FA1D5A">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055AD2" w:rsidRPr="004E568E" w:rsidRDefault="00055AD2" w:rsidP="00FA1D5A">
            <w:pPr>
              <w:pStyle w:val="TableHeader"/>
              <w:rPr>
                <w:bCs/>
                <w:color w:val="auto"/>
                <w:szCs w:val="2"/>
              </w:rPr>
            </w:pPr>
            <w:r>
              <w:rPr>
                <w:bCs/>
                <w:color w:val="auto"/>
                <w:szCs w:val="2"/>
              </w:rPr>
              <w:t>Data Export (Articles 26-28)</w:t>
            </w:r>
          </w:p>
        </w:tc>
      </w:tr>
      <w:tr w:rsidR="00055AD2" w:rsidRPr="00D41215" w:rsidTr="00055AD2">
        <w:trPr>
          <w:trHeight w:hRule="exact" w:val="841"/>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055AD2" w:rsidRPr="004E568E" w:rsidRDefault="00055AD2" w:rsidP="000C5C06">
            <w:pPr>
              <w:pStyle w:val="TableHeader"/>
              <w:rPr>
                <w:bCs/>
                <w:color w:val="auto"/>
                <w:szCs w:val="2"/>
              </w:rPr>
            </w:pPr>
            <w:r>
              <w:rPr>
                <w:bCs/>
                <w:color w:val="auto"/>
                <w:szCs w:val="2"/>
              </w:rPr>
              <w:t>Q15:</w:t>
            </w:r>
            <w:r w:rsidRPr="00055AD2">
              <w:rPr>
                <w:rFonts w:ascii="Arial" w:eastAsia="Arial" w:hAnsi="Arial" w:cs="Times New Roman"/>
                <w:color w:val="000000"/>
                <w:szCs w:val="22"/>
              </w:rPr>
              <w:t xml:space="preserve"> Controllers who expect to fall within the scope of Article 28 are invited to provide comments on the Article.</w:t>
            </w:r>
          </w:p>
        </w:tc>
      </w:tr>
      <w:tr w:rsidR="00055AD2" w:rsidRPr="00D41215" w:rsidTr="00055AD2">
        <w:trPr>
          <w:trHeight w:hRule="exact" w:val="841"/>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5AD2"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Default="00055AD2" w:rsidP="000C5C06">
            <w:pPr>
              <w:pStyle w:val="TableHeader"/>
              <w:rPr>
                <w:bCs/>
                <w:color w:val="auto"/>
                <w:szCs w:val="2"/>
              </w:rPr>
            </w:pPr>
          </w:p>
        </w:tc>
      </w:tr>
      <w:tr w:rsidR="00055AD2" w:rsidRPr="00D41215" w:rsidTr="00055AD2">
        <w:trPr>
          <w:trHeight w:hRule="exact" w:val="643"/>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5AD2"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Default="00055AD2" w:rsidP="000C5C06">
            <w:pPr>
              <w:pStyle w:val="TableHeader"/>
              <w:rPr>
                <w:bCs/>
                <w:color w:val="auto"/>
                <w:szCs w:val="2"/>
              </w:rPr>
            </w:pPr>
          </w:p>
        </w:tc>
      </w:tr>
      <w:tr w:rsidR="00055AD2" w:rsidRPr="004E568E" w:rsidTr="00FA1D5A">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055AD2" w:rsidRPr="004E568E" w:rsidRDefault="00055AD2" w:rsidP="00FA1D5A">
            <w:pPr>
              <w:pStyle w:val="TableHeader"/>
              <w:rPr>
                <w:bCs/>
                <w:color w:val="auto"/>
                <w:szCs w:val="2"/>
              </w:rPr>
            </w:pPr>
            <w:r>
              <w:rPr>
                <w:bCs/>
                <w:color w:val="auto"/>
                <w:szCs w:val="2"/>
              </w:rPr>
              <w:t>Provision of Information (Articles 29-31)</w:t>
            </w:r>
          </w:p>
        </w:tc>
      </w:tr>
      <w:tr w:rsidR="00055AD2" w:rsidRPr="00D41215" w:rsidTr="00B62CB0">
        <w:trPr>
          <w:trHeight w:hRule="exact" w:val="598"/>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055AD2" w:rsidRDefault="00055AD2" w:rsidP="007232E0">
            <w:pPr>
              <w:pStyle w:val="TableHeader"/>
              <w:rPr>
                <w:bCs/>
                <w:color w:val="auto"/>
                <w:szCs w:val="2"/>
              </w:rPr>
            </w:pPr>
            <w:r w:rsidRPr="00055AD2">
              <w:rPr>
                <w:rFonts w:ascii="Arial" w:eastAsia="Arial" w:hAnsi="Arial" w:cs="Times New Roman"/>
                <w:color w:val="000000"/>
                <w:szCs w:val="22"/>
              </w:rPr>
              <w:t>We are keen to consult on the issues noted in section</w:t>
            </w:r>
            <w:r w:rsidR="007232E0">
              <w:rPr>
                <w:rFonts w:ascii="Arial" w:eastAsia="Arial" w:hAnsi="Arial" w:cs="Times New Roman"/>
                <w:color w:val="000000"/>
                <w:szCs w:val="22"/>
              </w:rPr>
              <w:t xml:space="preserve"> </w:t>
            </w:r>
            <w:bookmarkStart w:id="0" w:name="_GoBack"/>
            <w:bookmarkEnd w:id="0"/>
            <w:r w:rsidR="007232E0">
              <w:rPr>
                <w:rFonts w:ascii="Arial" w:eastAsia="Arial" w:hAnsi="Arial" w:cs="Times New Roman"/>
                <w:color w:val="000000"/>
                <w:szCs w:val="22"/>
              </w:rPr>
              <w:t>54</w:t>
            </w:r>
            <w:r w:rsidRPr="00055AD2">
              <w:rPr>
                <w:rFonts w:ascii="Arial" w:eastAsia="Arial" w:hAnsi="Arial" w:cs="Times New Roman"/>
                <w:color w:val="000000"/>
                <w:szCs w:val="22"/>
              </w:rPr>
              <w:t>, which are not addressed in other prominent data protection laws.  Please see question 16 below.</w:t>
            </w:r>
          </w:p>
        </w:tc>
      </w:tr>
      <w:tr w:rsidR="00055AD2" w:rsidRPr="00D41215" w:rsidTr="00055AD2">
        <w:trPr>
          <w:trHeight w:hRule="exact" w:val="59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5AD2"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Default="00055AD2" w:rsidP="000C5C06">
            <w:pPr>
              <w:pStyle w:val="TableHeader"/>
              <w:rPr>
                <w:bCs/>
                <w:color w:val="auto"/>
                <w:szCs w:val="2"/>
              </w:rPr>
            </w:pPr>
          </w:p>
        </w:tc>
      </w:tr>
      <w:tr w:rsidR="00055AD2" w:rsidRPr="00D41215" w:rsidTr="00055AD2">
        <w:trPr>
          <w:trHeight w:hRule="exact" w:val="59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5AD2"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Default="00055AD2" w:rsidP="000C5C06">
            <w:pPr>
              <w:pStyle w:val="TableHeader"/>
              <w:rPr>
                <w:bCs/>
                <w:color w:val="auto"/>
                <w:szCs w:val="2"/>
              </w:rPr>
            </w:pPr>
          </w:p>
        </w:tc>
      </w:tr>
      <w:tr w:rsidR="00055AD2" w:rsidRPr="004E568E" w:rsidTr="00FA1D5A">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055AD2" w:rsidRPr="004E568E" w:rsidRDefault="00055AD2" w:rsidP="00FA1D5A">
            <w:pPr>
              <w:pStyle w:val="TableHeader"/>
              <w:rPr>
                <w:bCs/>
                <w:color w:val="auto"/>
                <w:szCs w:val="2"/>
              </w:rPr>
            </w:pPr>
            <w:r>
              <w:rPr>
                <w:bCs/>
                <w:color w:val="auto"/>
                <w:szCs w:val="2"/>
              </w:rPr>
              <w:t>Data Subject Rights (Articles 32-40)</w:t>
            </w:r>
          </w:p>
        </w:tc>
      </w:tr>
      <w:tr w:rsidR="00055AD2" w:rsidRPr="00D41215" w:rsidTr="00055AD2">
        <w:trPr>
          <w:trHeight w:hRule="exact" w:val="1021"/>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055AD2" w:rsidRDefault="00055AD2" w:rsidP="007232E0">
            <w:pPr>
              <w:pStyle w:val="TableHeader"/>
              <w:ind w:left="522" w:hanging="522"/>
              <w:rPr>
                <w:bCs/>
                <w:color w:val="auto"/>
                <w:szCs w:val="2"/>
              </w:rPr>
            </w:pPr>
            <w:r>
              <w:rPr>
                <w:bCs/>
                <w:color w:val="auto"/>
                <w:szCs w:val="2"/>
              </w:rPr>
              <w:t xml:space="preserve">Q16: </w:t>
            </w:r>
            <w:r w:rsidRPr="007B3941">
              <w:rPr>
                <w:rFonts w:ascii="Arial" w:eastAsia="Arial" w:hAnsi="Arial" w:cs="Times New Roman"/>
                <w:color w:val="000000"/>
                <w:szCs w:val="22"/>
              </w:rPr>
              <w:t>Controllers who intend to use innovative Processing methods where erasure (and therefore comply</w:t>
            </w:r>
            <w:r w:rsidR="007B3941" w:rsidRPr="007B3941">
              <w:rPr>
                <w:rFonts w:ascii="Arial" w:eastAsia="Arial" w:hAnsi="Arial" w:cs="Times New Roman"/>
                <w:color w:val="000000"/>
                <w:szCs w:val="22"/>
              </w:rPr>
              <w:t xml:space="preserve">ing with a valid objection) and </w:t>
            </w:r>
            <w:r w:rsidRPr="007B3941">
              <w:rPr>
                <w:rFonts w:ascii="Arial" w:eastAsia="Arial" w:hAnsi="Arial" w:cs="Times New Roman"/>
                <w:color w:val="000000"/>
                <w:szCs w:val="22"/>
              </w:rPr>
              <w:t xml:space="preserve">rectification (for example, where stored Personal Data are intended to be immutable) are technically impossible or infeasible are invited to provide views on the provisions referenced in section </w:t>
            </w:r>
            <w:r w:rsidR="007232E0">
              <w:rPr>
                <w:rFonts w:ascii="Arial" w:eastAsia="Arial" w:hAnsi="Arial" w:cs="Times New Roman"/>
                <w:color w:val="000000"/>
                <w:szCs w:val="22"/>
              </w:rPr>
              <w:t>56</w:t>
            </w:r>
            <w:r w:rsidRPr="007B3941">
              <w:rPr>
                <w:rFonts w:ascii="Arial" w:eastAsia="Arial" w:hAnsi="Arial" w:cs="Times New Roman"/>
                <w:color w:val="000000"/>
                <w:szCs w:val="22"/>
              </w:rPr>
              <w:t>.</w:t>
            </w:r>
          </w:p>
        </w:tc>
      </w:tr>
      <w:tr w:rsidR="00055AD2" w:rsidRPr="00D41215" w:rsidTr="00055AD2">
        <w:trPr>
          <w:trHeight w:hRule="exact" w:val="59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5AD2"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Default="00055AD2" w:rsidP="000C5C06">
            <w:pPr>
              <w:pStyle w:val="TableHeader"/>
              <w:rPr>
                <w:bCs/>
                <w:color w:val="auto"/>
                <w:szCs w:val="2"/>
              </w:rPr>
            </w:pPr>
          </w:p>
        </w:tc>
      </w:tr>
      <w:tr w:rsidR="00055AD2" w:rsidRPr="00D41215" w:rsidTr="00055AD2">
        <w:trPr>
          <w:trHeight w:hRule="exact" w:val="59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5AD2"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Default="00055AD2" w:rsidP="000C5C06">
            <w:pPr>
              <w:pStyle w:val="TableHeader"/>
              <w:rPr>
                <w:bCs/>
                <w:color w:val="auto"/>
                <w:szCs w:val="2"/>
              </w:rPr>
            </w:pPr>
          </w:p>
        </w:tc>
      </w:tr>
      <w:tr w:rsidR="001D61E2" w:rsidRPr="00D41215" w:rsidTr="00055AD2">
        <w:trPr>
          <w:trHeight w:hRule="exact" w:val="598"/>
        </w:trPr>
        <w:tc>
          <w:tcPr>
            <w:tcW w:w="720" w:type="dxa"/>
            <w:tcBorders>
              <w:top w:val="single" w:sz="4" w:space="0" w:color="auto"/>
              <w:left w:val="single" w:sz="4" w:space="0" w:color="auto"/>
              <w:bottom w:val="single" w:sz="4" w:space="0" w:color="auto"/>
              <w:right w:val="single" w:sz="4" w:space="0" w:color="auto"/>
            </w:tcBorders>
            <w:shd w:val="clear" w:color="auto" w:fill="auto"/>
          </w:tcPr>
          <w:p w:rsidR="001D61E2" w:rsidRDefault="001D61E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D61E2" w:rsidRDefault="001D61E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D61E2" w:rsidRDefault="001D61E2" w:rsidP="000C5C06">
            <w:pPr>
              <w:pStyle w:val="TableHeader"/>
              <w:rPr>
                <w:bCs/>
                <w:color w:val="auto"/>
                <w:szCs w:val="2"/>
              </w:rPr>
            </w:pPr>
          </w:p>
        </w:tc>
      </w:tr>
      <w:tr w:rsidR="00696980" w:rsidRPr="004E568E" w:rsidTr="00FA1D5A">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696980" w:rsidRPr="004E568E" w:rsidRDefault="00696980" w:rsidP="00FA1D5A">
            <w:pPr>
              <w:pStyle w:val="TableHeader"/>
              <w:rPr>
                <w:bCs/>
                <w:color w:val="auto"/>
                <w:szCs w:val="2"/>
              </w:rPr>
            </w:pPr>
            <w:r>
              <w:rPr>
                <w:bCs/>
                <w:color w:val="auto"/>
                <w:szCs w:val="2"/>
              </w:rPr>
              <w:t>Commissioner of Data Protection (Articles 43-58)</w:t>
            </w:r>
          </w:p>
        </w:tc>
      </w:tr>
      <w:tr w:rsidR="00055AD2" w:rsidRPr="00D41215" w:rsidTr="00696980">
        <w:trPr>
          <w:trHeight w:hRule="exact" w:val="1039"/>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055AD2" w:rsidRDefault="00696980" w:rsidP="007B3941">
            <w:pPr>
              <w:pStyle w:val="TableHeader"/>
              <w:ind w:left="522" w:hanging="522"/>
              <w:rPr>
                <w:bCs/>
                <w:color w:val="auto"/>
                <w:szCs w:val="2"/>
              </w:rPr>
            </w:pPr>
            <w:r>
              <w:rPr>
                <w:bCs/>
                <w:color w:val="auto"/>
                <w:szCs w:val="2"/>
              </w:rPr>
              <w:t>Q17:</w:t>
            </w:r>
            <w:r w:rsidRPr="00696980">
              <w:rPr>
                <w:rFonts w:ascii="Arial" w:eastAsia="Arial" w:hAnsi="Arial" w:cs="Times New Roman"/>
                <w:color w:val="000000"/>
                <w:szCs w:val="22"/>
              </w:rPr>
              <w:t xml:space="preserve"> We are keen to hear from any Controllers or Processors who believe certification schemes would be valuable and from any person who has an interest in establishing a certification scheme and being recognised as an approved certification body.  Please provide your comments.</w:t>
            </w:r>
          </w:p>
        </w:tc>
      </w:tr>
      <w:tr w:rsidR="00055AD2" w:rsidRPr="00D41215" w:rsidTr="00055AD2">
        <w:trPr>
          <w:trHeight w:hRule="exact" w:val="59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5AD2"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Default="00055AD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55AD2" w:rsidRDefault="00055AD2" w:rsidP="000C5C06">
            <w:pPr>
              <w:pStyle w:val="TableHeader"/>
              <w:rPr>
                <w:bCs/>
                <w:color w:val="auto"/>
                <w:szCs w:val="2"/>
              </w:rPr>
            </w:pPr>
          </w:p>
        </w:tc>
      </w:tr>
      <w:tr w:rsidR="00696980" w:rsidRPr="00D41215" w:rsidTr="00055AD2">
        <w:trPr>
          <w:trHeight w:hRule="exact" w:val="598"/>
        </w:trPr>
        <w:tc>
          <w:tcPr>
            <w:tcW w:w="720" w:type="dxa"/>
            <w:tcBorders>
              <w:top w:val="single" w:sz="4" w:space="0" w:color="auto"/>
              <w:left w:val="single" w:sz="4" w:space="0" w:color="auto"/>
              <w:bottom w:val="single" w:sz="4" w:space="0" w:color="auto"/>
              <w:right w:val="single" w:sz="4" w:space="0" w:color="auto"/>
            </w:tcBorders>
            <w:shd w:val="clear" w:color="auto" w:fill="auto"/>
          </w:tcPr>
          <w:p w:rsidR="00696980" w:rsidRDefault="00696980"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696980" w:rsidRDefault="00696980"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696980" w:rsidRDefault="00696980" w:rsidP="000C5C06">
            <w:pPr>
              <w:pStyle w:val="TableHeader"/>
              <w:rPr>
                <w:bCs/>
                <w:color w:val="auto"/>
                <w:szCs w:val="2"/>
              </w:rPr>
            </w:pPr>
          </w:p>
        </w:tc>
      </w:tr>
      <w:tr w:rsidR="001D61E2" w:rsidRPr="00D41215" w:rsidTr="00055AD2">
        <w:trPr>
          <w:trHeight w:hRule="exact" w:val="598"/>
        </w:trPr>
        <w:tc>
          <w:tcPr>
            <w:tcW w:w="720" w:type="dxa"/>
            <w:tcBorders>
              <w:top w:val="single" w:sz="4" w:space="0" w:color="auto"/>
              <w:left w:val="single" w:sz="4" w:space="0" w:color="auto"/>
              <w:bottom w:val="single" w:sz="4" w:space="0" w:color="auto"/>
              <w:right w:val="single" w:sz="4" w:space="0" w:color="auto"/>
            </w:tcBorders>
            <w:shd w:val="clear" w:color="auto" w:fill="auto"/>
          </w:tcPr>
          <w:p w:rsidR="001D61E2" w:rsidRDefault="001D61E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D61E2" w:rsidRDefault="001D61E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D61E2" w:rsidRDefault="001D61E2" w:rsidP="000C5C06">
            <w:pPr>
              <w:pStyle w:val="TableHeader"/>
              <w:rPr>
                <w:bCs/>
                <w:color w:val="auto"/>
                <w:szCs w:val="2"/>
              </w:rPr>
            </w:pPr>
          </w:p>
        </w:tc>
      </w:tr>
      <w:tr w:rsidR="00696980" w:rsidRPr="004E568E" w:rsidTr="00FA1D5A">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696980" w:rsidRPr="004E568E" w:rsidRDefault="00696980" w:rsidP="00FA1D5A">
            <w:pPr>
              <w:pStyle w:val="TableHeader"/>
              <w:rPr>
                <w:bCs/>
                <w:color w:val="auto"/>
                <w:szCs w:val="2"/>
              </w:rPr>
            </w:pPr>
            <w:r>
              <w:rPr>
                <w:bCs/>
                <w:color w:val="auto"/>
                <w:szCs w:val="2"/>
              </w:rPr>
              <w:t>Remedies, Liabilities and Sanctions (Articles 59-64)</w:t>
            </w:r>
          </w:p>
        </w:tc>
      </w:tr>
      <w:tr w:rsidR="00696980" w:rsidRPr="00D41215" w:rsidTr="001A4F9A">
        <w:trPr>
          <w:trHeight w:hRule="exact" w:val="598"/>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696980" w:rsidRDefault="00696980" w:rsidP="000C5C06">
            <w:pPr>
              <w:pStyle w:val="TableHeader"/>
              <w:rPr>
                <w:bCs/>
                <w:color w:val="auto"/>
                <w:szCs w:val="2"/>
              </w:rPr>
            </w:pPr>
            <w:r>
              <w:rPr>
                <w:bCs/>
                <w:color w:val="auto"/>
                <w:szCs w:val="2"/>
              </w:rPr>
              <w:t>Q18:</w:t>
            </w:r>
            <w:r w:rsidRPr="00696980">
              <w:rPr>
                <w:rFonts w:ascii="Arial" w:eastAsia="Arial" w:hAnsi="Arial" w:cs="Times New Roman"/>
                <w:color w:val="000000"/>
                <w:szCs w:val="22"/>
              </w:rPr>
              <w:t xml:space="preserve"> Controllers and Processors are invited to comment on the provisions of Articles 59 – 64.</w:t>
            </w:r>
          </w:p>
        </w:tc>
      </w:tr>
      <w:tr w:rsidR="00696980" w:rsidRPr="00D41215" w:rsidTr="00055AD2">
        <w:trPr>
          <w:trHeight w:hRule="exact" w:val="598"/>
        </w:trPr>
        <w:tc>
          <w:tcPr>
            <w:tcW w:w="720" w:type="dxa"/>
            <w:tcBorders>
              <w:top w:val="single" w:sz="4" w:space="0" w:color="auto"/>
              <w:left w:val="single" w:sz="4" w:space="0" w:color="auto"/>
              <w:bottom w:val="single" w:sz="4" w:space="0" w:color="auto"/>
              <w:right w:val="single" w:sz="4" w:space="0" w:color="auto"/>
            </w:tcBorders>
            <w:shd w:val="clear" w:color="auto" w:fill="auto"/>
          </w:tcPr>
          <w:p w:rsidR="00696980" w:rsidRDefault="00696980"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696980" w:rsidRDefault="00696980"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696980" w:rsidRDefault="00696980" w:rsidP="000C5C06">
            <w:pPr>
              <w:pStyle w:val="TableHeader"/>
              <w:rPr>
                <w:bCs/>
                <w:color w:val="auto"/>
                <w:szCs w:val="2"/>
              </w:rPr>
            </w:pPr>
          </w:p>
        </w:tc>
      </w:tr>
      <w:tr w:rsidR="00696980" w:rsidRPr="00D41215" w:rsidTr="00055AD2">
        <w:trPr>
          <w:trHeight w:hRule="exact" w:val="598"/>
        </w:trPr>
        <w:tc>
          <w:tcPr>
            <w:tcW w:w="720" w:type="dxa"/>
            <w:tcBorders>
              <w:top w:val="single" w:sz="4" w:space="0" w:color="auto"/>
              <w:left w:val="single" w:sz="4" w:space="0" w:color="auto"/>
              <w:bottom w:val="single" w:sz="4" w:space="0" w:color="auto"/>
              <w:right w:val="single" w:sz="4" w:space="0" w:color="auto"/>
            </w:tcBorders>
            <w:shd w:val="clear" w:color="auto" w:fill="auto"/>
          </w:tcPr>
          <w:p w:rsidR="00696980" w:rsidRDefault="00696980"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696980" w:rsidRDefault="00696980"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696980" w:rsidRDefault="00696980" w:rsidP="000C5C06">
            <w:pPr>
              <w:pStyle w:val="TableHeader"/>
              <w:rPr>
                <w:bCs/>
                <w:color w:val="auto"/>
                <w:szCs w:val="2"/>
              </w:rPr>
            </w:pPr>
          </w:p>
        </w:tc>
      </w:tr>
      <w:tr w:rsidR="00E25288" w:rsidRPr="00D41215" w:rsidTr="001A20EE">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E25288" w:rsidRPr="004E568E" w:rsidRDefault="00E25288" w:rsidP="001A20EE">
            <w:pPr>
              <w:pStyle w:val="TableHeader"/>
              <w:rPr>
                <w:bCs/>
                <w:color w:val="auto"/>
                <w:szCs w:val="2"/>
              </w:rPr>
            </w:pPr>
            <w:r>
              <w:rPr>
                <w:bCs/>
                <w:color w:val="auto"/>
                <w:szCs w:val="2"/>
              </w:rPr>
              <w:t>Miscellaneous</w:t>
            </w:r>
          </w:p>
        </w:tc>
      </w:tr>
      <w:tr w:rsidR="00E25288" w:rsidRPr="00D41215" w:rsidTr="007C2B75">
        <w:trPr>
          <w:trHeight w:hRule="exact" w:val="904"/>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E25288" w:rsidRPr="00EC434A" w:rsidRDefault="00E25288" w:rsidP="00000B3C">
            <w:pPr>
              <w:pStyle w:val="BodyText"/>
              <w:tabs>
                <w:tab w:val="left" w:pos="426"/>
              </w:tabs>
              <w:kinsoku w:val="0"/>
              <w:overflowPunct w:val="0"/>
              <w:autoSpaceDE w:val="0"/>
              <w:autoSpaceDN w:val="0"/>
              <w:spacing w:after="0"/>
              <w:ind w:left="432" w:hanging="432"/>
              <w:rPr>
                <w:color w:val="auto"/>
                <w:sz w:val="22"/>
                <w:szCs w:val="22"/>
              </w:rPr>
            </w:pPr>
          </w:p>
        </w:tc>
      </w:tr>
      <w:tr w:rsidR="00E25288"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r>
      <w:tr w:rsidR="00E25288"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r>
    </w:tbl>
    <w:p w:rsidR="00B61B87" w:rsidRDefault="00B61B87" w:rsidP="00B5546C"/>
    <w:sectPr w:rsidR="00B61B87" w:rsidSect="003B5D57">
      <w:headerReference w:type="even" r:id="rId11"/>
      <w:footerReference w:type="even" r:id="rId12"/>
      <w:footerReference w:type="default" r:id="rId13"/>
      <w:footerReference w:type="first" r:id="rId14"/>
      <w:pgSz w:w="16820" w:h="11900" w:orient="landscape"/>
      <w:pgMar w:top="794" w:right="890" w:bottom="1004" w:left="900" w:header="136" w:footer="7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96E" w:rsidRDefault="000F396E" w:rsidP="001072C8">
      <w:r>
        <w:separator/>
      </w:r>
    </w:p>
    <w:p w:rsidR="000F396E" w:rsidRDefault="000F396E" w:rsidP="001072C8"/>
    <w:p w:rsidR="000F396E" w:rsidRDefault="000F396E" w:rsidP="001072C8"/>
  </w:endnote>
  <w:endnote w:type="continuationSeparator" w:id="0">
    <w:p w:rsidR="000F396E" w:rsidRDefault="000F396E" w:rsidP="001072C8">
      <w:r>
        <w:continuationSeparator/>
      </w:r>
    </w:p>
    <w:p w:rsidR="000F396E" w:rsidRDefault="000F396E" w:rsidP="001072C8"/>
    <w:p w:rsidR="000F396E" w:rsidRDefault="000F396E"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773" w:rsidRDefault="00F57773" w:rsidP="002F4ADA">
    <w:pPr>
      <w:pStyle w:val="Footer"/>
      <w:framePr w:wrap="around" w:vAnchor="text" w:hAnchor="page" w:x="1021" w:y="565"/>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2F4ADA">
      <w:rPr>
        <w:rStyle w:val="PageNumber"/>
        <w:noProof/>
      </w:rPr>
      <w:t>2</w:t>
    </w:r>
    <w:r>
      <w:rPr>
        <w:rStyle w:val="PageNumber"/>
      </w:rPr>
      <w:fldChar w:fldCharType="end"/>
    </w:r>
  </w:p>
  <w:p w:rsidR="009A1109" w:rsidRDefault="009A1109" w:rsidP="002F4ADA">
    <w:pPr>
      <w:pStyle w:val="Footer"/>
      <w:framePr w:wrap="around" w:vAnchor="text" w:hAnchor="page" w:x="1021" w:y="565"/>
      <w:jc w:val="right"/>
      <w:rPr>
        <w:rStyle w:val="PageNumber"/>
      </w:rPr>
    </w:pPr>
  </w:p>
  <w:p w:rsidR="00907366" w:rsidRPr="00F57773" w:rsidRDefault="00F57773" w:rsidP="002F4ADA">
    <w:pPr>
      <w:ind w:right="-122"/>
      <w:jc w:val="both"/>
      <w:rPr>
        <w:color w:val="17174F" w:themeColor="text1" w:themeTint="E6"/>
        <w:sz w:val="14"/>
        <w:szCs w:val="14"/>
      </w:rPr>
    </w:pPr>
    <w:r w:rsidRPr="00E137E6">
      <w:rPr>
        <w:color w:val="17174F" w:themeColor="text1" w:themeTint="E6"/>
        <w:sz w:val="14"/>
        <w:szCs w:val="14"/>
      </w:rPr>
      <w:t>Any personal data provided by you will be used, recorded and processed by us in accordance with the relevant statutory basis including the Data protection law 2007, We do not disclose any information you provide to any third parties or other government authorities except where (i) such disclosures are necessary to fulfill our obligations to you in which case we will require such third parties to agree to treat it in accordance with thus policy; (ii) required by applicable laws, courts orders, or government regulations (for example to prevent or detect crime); (iii)you give us permission to do so, please see the Data Protection law 2007 for a full account of your rights relating to data protection.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ADA" w:rsidRPr="00F57773" w:rsidRDefault="002F4ADA" w:rsidP="002F4ADA">
    <w:pPr>
      <w:ind w:right="-122"/>
      <w:jc w:val="both"/>
      <w:rPr>
        <w:color w:val="17174F" w:themeColor="text1" w:themeTint="E6"/>
        <w:sz w:val="14"/>
        <w:szCs w:val="14"/>
      </w:rPr>
    </w:pPr>
    <w:r w:rsidRPr="00E137E6">
      <w:rPr>
        <w:color w:val="17174F" w:themeColor="text1" w:themeTint="E6"/>
        <w:sz w:val="14"/>
        <w:szCs w:val="14"/>
      </w:rPr>
      <w:t>Any personal data provided by you will be used, recorded and processed by us in accordance with the relevant statutory basis including the Data protection law 2007, We do not disclose any information you provide to any third parties or other government authorities except where (i) such disclosures are necessary to fulfill our obligations to you in which case we will require such third parties to agree to treat it in accordance with thus policy; (ii) required by applicable laws, courts orders, or government regulations (for example to prevent or detect crime); (iii)</w:t>
    </w:r>
    <w:r>
      <w:rPr>
        <w:color w:val="17174F" w:themeColor="text1" w:themeTint="E6"/>
        <w:sz w:val="14"/>
        <w:szCs w:val="14"/>
      </w:rPr>
      <w:t xml:space="preserve"> </w:t>
    </w:r>
    <w:r w:rsidRPr="00E137E6">
      <w:rPr>
        <w:color w:val="17174F" w:themeColor="text1" w:themeTint="E6"/>
        <w:sz w:val="14"/>
        <w:szCs w:val="14"/>
      </w:rPr>
      <w:t>you give us permission to do so, please see the Data Protection law 2007 for a full account of your rights relating to data protection.</w:t>
    </w:r>
  </w:p>
  <w:p w:rsidR="002F4ADA" w:rsidRDefault="002F4ADA" w:rsidP="002F4ADA">
    <w:pPr>
      <w:pStyle w:val="Footer"/>
      <w:framePr w:h="229" w:hRule="exact" w:wrap="around" w:vAnchor="text" w:hAnchor="page" w:x="925" w:y="79"/>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0764F1">
      <w:rPr>
        <w:rStyle w:val="PageNumber"/>
        <w:noProof/>
      </w:rPr>
      <w:t>6</w:t>
    </w:r>
    <w:r>
      <w:rPr>
        <w:rStyle w:val="PageNumber"/>
      </w:rPr>
      <w:fldChar w:fldCharType="end"/>
    </w:r>
  </w:p>
  <w:p w:rsidR="002F4ADA" w:rsidRDefault="002F4ADA" w:rsidP="002F4ADA">
    <w:pPr>
      <w:pStyle w:val="Footer"/>
      <w:framePr w:h="229" w:hRule="exact" w:wrap="around" w:vAnchor="text" w:hAnchor="page" w:x="925" w:y="79"/>
      <w:jc w:val="right"/>
      <w:rPr>
        <w:rStyle w:val="PageNumber"/>
      </w:rPr>
    </w:pPr>
  </w:p>
  <w:p w:rsidR="00907366" w:rsidRDefault="00907366" w:rsidP="002F4ADA">
    <w:pPr>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ADA" w:rsidRDefault="002F4ADA" w:rsidP="002F4ADA">
    <w:pPr>
      <w:pStyle w:val="Footer"/>
      <w:framePr w:wrap="around" w:vAnchor="text" w:hAnchor="page" w:x="15757" w:y="535"/>
      <w:rPr>
        <w:rStyle w:val="PageNumber"/>
      </w:rPr>
    </w:pPr>
    <w:r>
      <w:rPr>
        <w:rStyle w:val="PageNumber"/>
      </w:rPr>
      <w:fldChar w:fldCharType="begin"/>
    </w:r>
    <w:r>
      <w:rPr>
        <w:rStyle w:val="PageNumber"/>
      </w:rPr>
      <w:instrText xml:space="preserve">PAGE  </w:instrText>
    </w:r>
    <w:r>
      <w:rPr>
        <w:rStyle w:val="PageNumber"/>
      </w:rPr>
      <w:fldChar w:fldCharType="separate"/>
    </w:r>
    <w:r w:rsidR="000764F1">
      <w:rPr>
        <w:rStyle w:val="PageNumber"/>
        <w:noProof/>
      </w:rPr>
      <w:t>1</w:t>
    </w:r>
    <w:r>
      <w:rPr>
        <w:rStyle w:val="PageNumber"/>
      </w:rPr>
      <w:fldChar w:fldCharType="end"/>
    </w:r>
  </w:p>
  <w:p w:rsidR="002F4ADA" w:rsidRPr="00F57773" w:rsidRDefault="002F4ADA" w:rsidP="002F4ADA">
    <w:pPr>
      <w:ind w:right="-122"/>
      <w:jc w:val="both"/>
      <w:rPr>
        <w:color w:val="17174F" w:themeColor="text1" w:themeTint="E6"/>
        <w:sz w:val="14"/>
        <w:szCs w:val="14"/>
      </w:rPr>
    </w:pPr>
    <w:r w:rsidRPr="00E137E6">
      <w:rPr>
        <w:color w:val="17174F" w:themeColor="text1" w:themeTint="E6"/>
        <w:sz w:val="14"/>
        <w:szCs w:val="14"/>
      </w:rPr>
      <w:t>Any personal data provided by you will be used, recorded and processed by us in accordance with the relevant statutory basis including the Data protection law 2007, We do not disclose any information you provide to any third parties or other government authorities except where (i) such disclosures are necessary to fulfill our obligations to you in which case we will require such third parties to agree to treat it in accordance with thus policy; (ii) required by applicable laws, courts orders, or government regulations (for example to prevent or detect crime); (iii)</w:t>
    </w:r>
    <w:r>
      <w:rPr>
        <w:color w:val="17174F" w:themeColor="text1" w:themeTint="E6"/>
        <w:sz w:val="14"/>
        <w:szCs w:val="14"/>
      </w:rPr>
      <w:t xml:space="preserve"> </w:t>
    </w:r>
    <w:r w:rsidRPr="00E137E6">
      <w:rPr>
        <w:color w:val="17174F" w:themeColor="text1" w:themeTint="E6"/>
        <w:sz w:val="14"/>
        <w:szCs w:val="14"/>
      </w:rPr>
      <w:t>you give us permission to do so, please see the Data Protection law 2007 for a full account of your rights relating to data protection.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96E" w:rsidRDefault="000F396E" w:rsidP="001072C8">
      <w:r>
        <w:separator/>
      </w:r>
    </w:p>
    <w:p w:rsidR="000F396E" w:rsidRDefault="000F396E" w:rsidP="001072C8"/>
    <w:p w:rsidR="000F396E" w:rsidRDefault="000F396E" w:rsidP="001072C8"/>
  </w:footnote>
  <w:footnote w:type="continuationSeparator" w:id="0">
    <w:p w:rsidR="000F396E" w:rsidRDefault="000F396E" w:rsidP="001072C8">
      <w:r>
        <w:continuationSeparator/>
      </w:r>
    </w:p>
    <w:p w:rsidR="000F396E" w:rsidRDefault="000F396E" w:rsidP="001072C8"/>
    <w:p w:rsidR="000F396E" w:rsidRDefault="000F396E"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D57" w:rsidRPr="00D41215" w:rsidRDefault="003B5D57" w:rsidP="003B5D57">
    <w:pPr>
      <w:pStyle w:val="TableHeader"/>
      <w:rPr>
        <w:szCs w:val="2"/>
      </w:rPr>
    </w:pPr>
    <w:r>
      <w:rPr>
        <w:szCs w:val="2"/>
      </w:rPr>
      <w:t xml:space="preserve">No. </w:t>
    </w:r>
  </w:p>
  <w:p w:rsidR="003B5D57" w:rsidRDefault="003B5D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03F76"/>
    <w:multiLevelType w:val="hybridMultilevel"/>
    <w:tmpl w:val="8F30A030"/>
    <w:lvl w:ilvl="0" w:tplc="8BA256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57"/>
  <w:drawingGridVerticalSpacing w:val="57"/>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4C"/>
    <w:rsid w:val="00000B3C"/>
    <w:rsid w:val="0001119D"/>
    <w:rsid w:val="0001311F"/>
    <w:rsid w:val="00021D2A"/>
    <w:rsid w:val="00022AE4"/>
    <w:rsid w:val="00026619"/>
    <w:rsid w:val="00026B37"/>
    <w:rsid w:val="00027A52"/>
    <w:rsid w:val="000510E5"/>
    <w:rsid w:val="000552A3"/>
    <w:rsid w:val="00055AD2"/>
    <w:rsid w:val="000612A7"/>
    <w:rsid w:val="00070D98"/>
    <w:rsid w:val="000764F1"/>
    <w:rsid w:val="000834ED"/>
    <w:rsid w:val="000906BF"/>
    <w:rsid w:val="00091120"/>
    <w:rsid w:val="000921D5"/>
    <w:rsid w:val="000949BC"/>
    <w:rsid w:val="000A00A2"/>
    <w:rsid w:val="000A13B6"/>
    <w:rsid w:val="000A1807"/>
    <w:rsid w:val="000A2126"/>
    <w:rsid w:val="000A3A9A"/>
    <w:rsid w:val="000B2586"/>
    <w:rsid w:val="000B5023"/>
    <w:rsid w:val="000B5042"/>
    <w:rsid w:val="000C5BF2"/>
    <w:rsid w:val="000C5C06"/>
    <w:rsid w:val="000D21FC"/>
    <w:rsid w:val="000E0188"/>
    <w:rsid w:val="000E213A"/>
    <w:rsid w:val="000F26F2"/>
    <w:rsid w:val="000F396E"/>
    <w:rsid w:val="000F4C4C"/>
    <w:rsid w:val="001072C8"/>
    <w:rsid w:val="0011121D"/>
    <w:rsid w:val="001149EA"/>
    <w:rsid w:val="00116580"/>
    <w:rsid w:val="00127070"/>
    <w:rsid w:val="00131E3D"/>
    <w:rsid w:val="00135CDB"/>
    <w:rsid w:val="00135E47"/>
    <w:rsid w:val="00135EC5"/>
    <w:rsid w:val="0013709A"/>
    <w:rsid w:val="00144349"/>
    <w:rsid w:val="001511EB"/>
    <w:rsid w:val="001643A8"/>
    <w:rsid w:val="00164C9E"/>
    <w:rsid w:val="00172B8F"/>
    <w:rsid w:val="00174D40"/>
    <w:rsid w:val="001806D0"/>
    <w:rsid w:val="00183E4D"/>
    <w:rsid w:val="00194534"/>
    <w:rsid w:val="001A38F0"/>
    <w:rsid w:val="001C00F6"/>
    <w:rsid w:val="001D5395"/>
    <w:rsid w:val="001D61E2"/>
    <w:rsid w:val="001E4A42"/>
    <w:rsid w:val="001E6714"/>
    <w:rsid w:val="00205A9D"/>
    <w:rsid w:val="0020631F"/>
    <w:rsid w:val="0022150D"/>
    <w:rsid w:val="002238A2"/>
    <w:rsid w:val="00252D5C"/>
    <w:rsid w:val="00261AB6"/>
    <w:rsid w:val="002701F9"/>
    <w:rsid w:val="002724B5"/>
    <w:rsid w:val="00295171"/>
    <w:rsid w:val="002A3642"/>
    <w:rsid w:val="002B10DB"/>
    <w:rsid w:val="002B14C2"/>
    <w:rsid w:val="002C1AC4"/>
    <w:rsid w:val="002D56EE"/>
    <w:rsid w:val="002F0903"/>
    <w:rsid w:val="002F4ADA"/>
    <w:rsid w:val="00304CB2"/>
    <w:rsid w:val="003078EE"/>
    <w:rsid w:val="00307AC3"/>
    <w:rsid w:val="003153DB"/>
    <w:rsid w:val="003208BA"/>
    <w:rsid w:val="00321DBD"/>
    <w:rsid w:val="00322F6F"/>
    <w:rsid w:val="003259F3"/>
    <w:rsid w:val="00332B5F"/>
    <w:rsid w:val="00343EA2"/>
    <w:rsid w:val="00354510"/>
    <w:rsid w:val="003551F3"/>
    <w:rsid w:val="0037004A"/>
    <w:rsid w:val="00381196"/>
    <w:rsid w:val="003B2274"/>
    <w:rsid w:val="003B2B6A"/>
    <w:rsid w:val="003B5D57"/>
    <w:rsid w:val="003B72BF"/>
    <w:rsid w:val="003D5B9C"/>
    <w:rsid w:val="003F678E"/>
    <w:rsid w:val="00401E5B"/>
    <w:rsid w:val="00410CAE"/>
    <w:rsid w:val="004126A4"/>
    <w:rsid w:val="00412E5E"/>
    <w:rsid w:val="00413A11"/>
    <w:rsid w:val="00423668"/>
    <w:rsid w:val="004261E5"/>
    <w:rsid w:val="00427C2D"/>
    <w:rsid w:val="00430095"/>
    <w:rsid w:val="00431B39"/>
    <w:rsid w:val="004355A0"/>
    <w:rsid w:val="00442ADA"/>
    <w:rsid w:val="00450EC9"/>
    <w:rsid w:val="00451525"/>
    <w:rsid w:val="00453F0A"/>
    <w:rsid w:val="00470053"/>
    <w:rsid w:val="0047583D"/>
    <w:rsid w:val="004761AB"/>
    <w:rsid w:val="004845C3"/>
    <w:rsid w:val="00491F1F"/>
    <w:rsid w:val="00493CB7"/>
    <w:rsid w:val="004A438A"/>
    <w:rsid w:val="004A53E3"/>
    <w:rsid w:val="004B1D6C"/>
    <w:rsid w:val="004C4C90"/>
    <w:rsid w:val="004C587D"/>
    <w:rsid w:val="004C5CE7"/>
    <w:rsid w:val="004D48C4"/>
    <w:rsid w:val="004E1091"/>
    <w:rsid w:val="004E568E"/>
    <w:rsid w:val="004F6CFE"/>
    <w:rsid w:val="00502ADA"/>
    <w:rsid w:val="005067D1"/>
    <w:rsid w:val="00506E90"/>
    <w:rsid w:val="00507039"/>
    <w:rsid w:val="005171F7"/>
    <w:rsid w:val="00520627"/>
    <w:rsid w:val="00521A63"/>
    <w:rsid w:val="00524378"/>
    <w:rsid w:val="00524D6D"/>
    <w:rsid w:val="005545BD"/>
    <w:rsid w:val="0056004A"/>
    <w:rsid w:val="0056264D"/>
    <w:rsid w:val="00570C5B"/>
    <w:rsid w:val="0057778F"/>
    <w:rsid w:val="0059235C"/>
    <w:rsid w:val="00594989"/>
    <w:rsid w:val="005B02BC"/>
    <w:rsid w:val="005B2E7C"/>
    <w:rsid w:val="005B4E3B"/>
    <w:rsid w:val="005B6F81"/>
    <w:rsid w:val="005D2468"/>
    <w:rsid w:val="005E0A8B"/>
    <w:rsid w:val="005E5ADB"/>
    <w:rsid w:val="005E5F39"/>
    <w:rsid w:val="00607C19"/>
    <w:rsid w:val="00614B32"/>
    <w:rsid w:val="00640813"/>
    <w:rsid w:val="006438E5"/>
    <w:rsid w:val="006442B4"/>
    <w:rsid w:val="00650BB4"/>
    <w:rsid w:val="00653166"/>
    <w:rsid w:val="00656AD2"/>
    <w:rsid w:val="006671F5"/>
    <w:rsid w:val="00667279"/>
    <w:rsid w:val="00684E9E"/>
    <w:rsid w:val="00691875"/>
    <w:rsid w:val="00696980"/>
    <w:rsid w:val="006C3D5C"/>
    <w:rsid w:val="006C60ED"/>
    <w:rsid w:val="006C65D5"/>
    <w:rsid w:val="006D3D6E"/>
    <w:rsid w:val="006E1FB5"/>
    <w:rsid w:val="006F14D1"/>
    <w:rsid w:val="006F783B"/>
    <w:rsid w:val="00706E1E"/>
    <w:rsid w:val="00720EA9"/>
    <w:rsid w:val="007232E0"/>
    <w:rsid w:val="00730F57"/>
    <w:rsid w:val="007313CE"/>
    <w:rsid w:val="007314AE"/>
    <w:rsid w:val="00732F05"/>
    <w:rsid w:val="0073377E"/>
    <w:rsid w:val="00737D37"/>
    <w:rsid w:val="00746751"/>
    <w:rsid w:val="00746DA0"/>
    <w:rsid w:val="00754BD5"/>
    <w:rsid w:val="00766E6B"/>
    <w:rsid w:val="00775ED6"/>
    <w:rsid w:val="00781157"/>
    <w:rsid w:val="00790840"/>
    <w:rsid w:val="00792A61"/>
    <w:rsid w:val="00796050"/>
    <w:rsid w:val="007A34B0"/>
    <w:rsid w:val="007A3A17"/>
    <w:rsid w:val="007A58E9"/>
    <w:rsid w:val="007B3715"/>
    <w:rsid w:val="007B3941"/>
    <w:rsid w:val="007C2B75"/>
    <w:rsid w:val="007D1EE6"/>
    <w:rsid w:val="007D6C7E"/>
    <w:rsid w:val="007E4299"/>
    <w:rsid w:val="007F141D"/>
    <w:rsid w:val="00800BA6"/>
    <w:rsid w:val="0080135E"/>
    <w:rsid w:val="0080338D"/>
    <w:rsid w:val="00807716"/>
    <w:rsid w:val="00810A5C"/>
    <w:rsid w:val="00812C82"/>
    <w:rsid w:val="0083352C"/>
    <w:rsid w:val="008468D4"/>
    <w:rsid w:val="00856878"/>
    <w:rsid w:val="0086075C"/>
    <w:rsid w:val="0086118A"/>
    <w:rsid w:val="0088397C"/>
    <w:rsid w:val="00893EA8"/>
    <w:rsid w:val="00893F42"/>
    <w:rsid w:val="008A2C3E"/>
    <w:rsid w:val="008C7729"/>
    <w:rsid w:val="008C7E4A"/>
    <w:rsid w:val="008E57B0"/>
    <w:rsid w:val="008E6B41"/>
    <w:rsid w:val="008F539E"/>
    <w:rsid w:val="008F5A6F"/>
    <w:rsid w:val="009005D7"/>
    <w:rsid w:val="00906557"/>
    <w:rsid w:val="00907366"/>
    <w:rsid w:val="00940999"/>
    <w:rsid w:val="0094702D"/>
    <w:rsid w:val="009503CD"/>
    <w:rsid w:val="00952B72"/>
    <w:rsid w:val="00960F82"/>
    <w:rsid w:val="00965A0F"/>
    <w:rsid w:val="009719C6"/>
    <w:rsid w:val="00972F42"/>
    <w:rsid w:val="00980886"/>
    <w:rsid w:val="0098357A"/>
    <w:rsid w:val="009903FA"/>
    <w:rsid w:val="009931D7"/>
    <w:rsid w:val="009A1109"/>
    <w:rsid w:val="009A1C0D"/>
    <w:rsid w:val="009B1E5E"/>
    <w:rsid w:val="009C20E1"/>
    <w:rsid w:val="009E0292"/>
    <w:rsid w:val="009E3B6B"/>
    <w:rsid w:val="009F1748"/>
    <w:rsid w:val="009F2F6E"/>
    <w:rsid w:val="00A04A98"/>
    <w:rsid w:val="00A2111E"/>
    <w:rsid w:val="00A50EF4"/>
    <w:rsid w:val="00A51282"/>
    <w:rsid w:val="00A532F6"/>
    <w:rsid w:val="00A57117"/>
    <w:rsid w:val="00A615D8"/>
    <w:rsid w:val="00A8154D"/>
    <w:rsid w:val="00A927B6"/>
    <w:rsid w:val="00A9313C"/>
    <w:rsid w:val="00AC4F4C"/>
    <w:rsid w:val="00AD036C"/>
    <w:rsid w:val="00AD165B"/>
    <w:rsid w:val="00AD61B1"/>
    <w:rsid w:val="00AE10DB"/>
    <w:rsid w:val="00AE2EEF"/>
    <w:rsid w:val="00AE4771"/>
    <w:rsid w:val="00AE5120"/>
    <w:rsid w:val="00AE63D9"/>
    <w:rsid w:val="00AF05EC"/>
    <w:rsid w:val="00AF41B5"/>
    <w:rsid w:val="00AF57EC"/>
    <w:rsid w:val="00B0291B"/>
    <w:rsid w:val="00B04A59"/>
    <w:rsid w:val="00B04D68"/>
    <w:rsid w:val="00B2059A"/>
    <w:rsid w:val="00B27E00"/>
    <w:rsid w:val="00B47DE4"/>
    <w:rsid w:val="00B5546C"/>
    <w:rsid w:val="00B61109"/>
    <w:rsid w:val="00B61B87"/>
    <w:rsid w:val="00B761FB"/>
    <w:rsid w:val="00B8683D"/>
    <w:rsid w:val="00B90622"/>
    <w:rsid w:val="00BA0BD0"/>
    <w:rsid w:val="00BA35EA"/>
    <w:rsid w:val="00BA7423"/>
    <w:rsid w:val="00BC19CE"/>
    <w:rsid w:val="00BD290C"/>
    <w:rsid w:val="00BE4A0B"/>
    <w:rsid w:val="00C018DB"/>
    <w:rsid w:val="00C23E71"/>
    <w:rsid w:val="00C42737"/>
    <w:rsid w:val="00C544BF"/>
    <w:rsid w:val="00C65912"/>
    <w:rsid w:val="00C70806"/>
    <w:rsid w:val="00C8015F"/>
    <w:rsid w:val="00C80189"/>
    <w:rsid w:val="00C81BAB"/>
    <w:rsid w:val="00C85A43"/>
    <w:rsid w:val="00C92159"/>
    <w:rsid w:val="00C94A91"/>
    <w:rsid w:val="00C95162"/>
    <w:rsid w:val="00CA006C"/>
    <w:rsid w:val="00CB2072"/>
    <w:rsid w:val="00CB6BB0"/>
    <w:rsid w:val="00CB7CB4"/>
    <w:rsid w:val="00CC55B3"/>
    <w:rsid w:val="00CC734C"/>
    <w:rsid w:val="00CE071A"/>
    <w:rsid w:val="00CE365E"/>
    <w:rsid w:val="00CE60A5"/>
    <w:rsid w:val="00CF7970"/>
    <w:rsid w:val="00D056F8"/>
    <w:rsid w:val="00D06D73"/>
    <w:rsid w:val="00D140F1"/>
    <w:rsid w:val="00D41215"/>
    <w:rsid w:val="00D42F0E"/>
    <w:rsid w:val="00D5043D"/>
    <w:rsid w:val="00D515BC"/>
    <w:rsid w:val="00D55269"/>
    <w:rsid w:val="00D557DF"/>
    <w:rsid w:val="00D63449"/>
    <w:rsid w:val="00D67A53"/>
    <w:rsid w:val="00D72CFC"/>
    <w:rsid w:val="00D7438D"/>
    <w:rsid w:val="00D85F40"/>
    <w:rsid w:val="00D91B24"/>
    <w:rsid w:val="00D92753"/>
    <w:rsid w:val="00D930E3"/>
    <w:rsid w:val="00DA02C1"/>
    <w:rsid w:val="00DA3A96"/>
    <w:rsid w:val="00DB252D"/>
    <w:rsid w:val="00DB2ED6"/>
    <w:rsid w:val="00DB702D"/>
    <w:rsid w:val="00DC2D79"/>
    <w:rsid w:val="00DC6619"/>
    <w:rsid w:val="00DE03F1"/>
    <w:rsid w:val="00DE39DC"/>
    <w:rsid w:val="00DE3E02"/>
    <w:rsid w:val="00E055E8"/>
    <w:rsid w:val="00E123C4"/>
    <w:rsid w:val="00E137E6"/>
    <w:rsid w:val="00E25288"/>
    <w:rsid w:val="00E25293"/>
    <w:rsid w:val="00E32D5F"/>
    <w:rsid w:val="00E32E18"/>
    <w:rsid w:val="00E57572"/>
    <w:rsid w:val="00E73A86"/>
    <w:rsid w:val="00E7433D"/>
    <w:rsid w:val="00E85E6B"/>
    <w:rsid w:val="00E90F2D"/>
    <w:rsid w:val="00E910DE"/>
    <w:rsid w:val="00EA3710"/>
    <w:rsid w:val="00EC0DEE"/>
    <w:rsid w:val="00EC4301"/>
    <w:rsid w:val="00EC434A"/>
    <w:rsid w:val="00EC4D9C"/>
    <w:rsid w:val="00EC5F78"/>
    <w:rsid w:val="00ED24A9"/>
    <w:rsid w:val="00ED688C"/>
    <w:rsid w:val="00EE5F18"/>
    <w:rsid w:val="00EE72C3"/>
    <w:rsid w:val="00EF177A"/>
    <w:rsid w:val="00EF61D5"/>
    <w:rsid w:val="00EF785A"/>
    <w:rsid w:val="00F02527"/>
    <w:rsid w:val="00F109A2"/>
    <w:rsid w:val="00F12AD2"/>
    <w:rsid w:val="00F3562C"/>
    <w:rsid w:val="00F36B40"/>
    <w:rsid w:val="00F414ED"/>
    <w:rsid w:val="00F42140"/>
    <w:rsid w:val="00F57773"/>
    <w:rsid w:val="00F613A2"/>
    <w:rsid w:val="00F633E0"/>
    <w:rsid w:val="00F75AFE"/>
    <w:rsid w:val="00F847D8"/>
    <w:rsid w:val="00F87F2F"/>
    <w:rsid w:val="00F90FAE"/>
    <w:rsid w:val="00F91BCE"/>
    <w:rsid w:val="00FA579B"/>
    <w:rsid w:val="00FB3D4C"/>
    <w:rsid w:val="00FC1E4D"/>
    <w:rsid w:val="00FC741C"/>
    <w:rsid w:val="00FD6B65"/>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A92B5934-5945-46C2-B780-15D56B60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D4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table" w:styleId="LightShading-Accent1">
    <w:name w:val="Light Shading Accent 1"/>
    <w:basedOn w:val="TableNormal"/>
    <w:uiPriority w:val="60"/>
    <w:rsid w:val="00907366"/>
    <w:rPr>
      <w:color w:val="0C0D2C" w:themeColor="accent1" w:themeShade="BF"/>
      <w:sz w:val="22"/>
      <w:szCs w:val="22"/>
      <w:lang w:eastAsia="zh-TW"/>
    </w:rPr>
    <w:tblPr>
      <w:tblStyleRowBandSize w:val="1"/>
      <w:tblStyleColBandSize w:val="1"/>
      <w:tblBorders>
        <w:top w:val="single" w:sz="8" w:space="0" w:color="10123C" w:themeColor="accent1"/>
        <w:bottom w:val="single" w:sz="8" w:space="0" w:color="10123C" w:themeColor="accent1"/>
      </w:tblBorders>
    </w:tblPr>
    <w:tblStylePr w:type="fir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la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ACE8" w:themeFill="accent1" w:themeFillTint="3F"/>
      </w:tcPr>
    </w:tblStylePr>
    <w:tblStylePr w:type="band1Horz">
      <w:tblPr/>
      <w:tcPr>
        <w:tcBorders>
          <w:left w:val="nil"/>
          <w:right w:val="nil"/>
          <w:insideH w:val="nil"/>
          <w:insideV w:val="nil"/>
        </w:tcBorders>
        <w:shd w:val="clear" w:color="auto" w:fill="AAACE8" w:themeFill="accent1" w:themeFillTint="3F"/>
      </w:tcPr>
    </w:tblStylePr>
  </w:style>
  <w:style w:type="paragraph" w:styleId="BodyText">
    <w:name w:val="Body Text"/>
    <w:basedOn w:val="Normal"/>
    <w:link w:val="BodyTextChar"/>
    <w:uiPriority w:val="99"/>
    <w:unhideWhenUsed/>
    <w:rsid w:val="007B3715"/>
    <w:pPr>
      <w:spacing w:after="120"/>
    </w:pPr>
  </w:style>
  <w:style w:type="character" w:customStyle="1" w:styleId="BodyTextChar">
    <w:name w:val="Body Text Char"/>
    <w:basedOn w:val="DefaultParagraphFont"/>
    <w:link w:val="BodyText"/>
    <w:uiPriority w:val="99"/>
    <w:rsid w:val="007B3715"/>
    <w:rPr>
      <w:color w:val="10123C"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671DF-BAE5-4D18-B518-338BFD60FEB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BF3CF50-5877-42EB-A8D2-6E293A90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 Al Khamiri</dc:creator>
  <cp:lastModifiedBy>Lori Baker</cp:lastModifiedBy>
  <cp:revision>4</cp:revision>
  <cp:lastPrinted>2019-06-19T11:11:00Z</cp:lastPrinted>
  <dcterms:created xsi:type="dcterms:W3CDTF">2019-06-19T11:10:00Z</dcterms:created>
  <dcterms:modified xsi:type="dcterms:W3CDTF">2019-06-19T11:11:00Z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39f719f6-acfe-4790-9ec2-4706f2beb7cf</vt:lpwstr>
  </property>
  <property fmtid="{D5CDD505-2E9C-101B-9397-08002B2CF9AE}" pid="3" name="docIndexRef">
    <vt:lpwstr>0da92d54-e836-4a55-b7ae-c68f5f5821dc</vt:lpwstr>
  </property>
  <property fmtid="{D5CDD505-2E9C-101B-9397-08002B2CF9AE}" pid="4" name="bjSaver">
    <vt:lpwstr>vwo4XY6MZihPOZCcW4p/caJoCkaL8fiz</vt:lpwstr>
  </property>
  <property fmtid="{D5CDD505-2E9C-101B-9397-08002B2CF9AE}" pid="5" name="DocumentMarkings">
    <vt:lpwstr>CONFIDENTIAL</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y fmtid="{D5CDD505-2E9C-101B-9397-08002B2CF9AE}" pid="10" name="Classification">
    <vt:lpwstr>CONFIDENTIAL</vt:lpwstr>
  </property>
</Properties>
</file>