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15" w:rsidRDefault="00781157" w:rsidP="00D41215">
      <w:pPr>
        <w:pStyle w:val="Heading1"/>
        <w:pBdr>
          <w:top w:val="single" w:sz="4" w:space="1" w:color="auto"/>
          <w:left w:val="single" w:sz="4" w:space="4" w:color="auto"/>
          <w:bottom w:val="single" w:sz="4" w:space="0" w:color="auto"/>
          <w:right w:val="single" w:sz="4" w:space="4" w:color="auto"/>
        </w:pBdr>
        <w:ind w:left="91"/>
        <w:jc w:val="center"/>
      </w:pPr>
      <w:r>
        <w:rPr>
          <w:noProof/>
          <w:lang w:val="en-GB" w:eastAsia="en-GB"/>
        </w:rPr>
        <mc:AlternateContent>
          <mc:Choice Requires="wps">
            <w:drawing>
              <wp:anchor distT="0" distB="0" distL="114300" distR="114300" simplePos="0" relativeHeight="251659264" behindDoc="0" locked="0" layoutInCell="1" allowOverlap="1" wp14:anchorId="28136C28" wp14:editId="0C29095C">
                <wp:simplePos x="0" y="0"/>
                <wp:positionH relativeFrom="column">
                  <wp:posOffset>7598204</wp:posOffset>
                </wp:positionH>
                <wp:positionV relativeFrom="paragraph">
                  <wp:posOffset>248817</wp:posOffset>
                </wp:positionV>
                <wp:extent cx="188785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89305"/>
                        </a:xfrm>
                        <a:prstGeom prst="rect">
                          <a:avLst/>
                        </a:prstGeom>
                        <a:solidFill>
                          <a:srgbClr val="FFFFFF"/>
                        </a:solidFill>
                        <a:ln w="9525">
                          <a:noFill/>
                          <a:miter lim="800000"/>
                          <a:headEnd/>
                          <a:tailEnd/>
                        </a:ln>
                      </wps:spPr>
                      <wps:txbx>
                        <w:txbxContent>
                          <w:p w:rsidR="00D41215" w:rsidRDefault="00D41215" w:rsidP="00D41215">
                            <w:pPr>
                              <w:jc w:val="center"/>
                            </w:pPr>
                            <w:r>
                              <w:rPr>
                                <w:noProof/>
                                <w:lang w:val="en-GB" w:eastAsia="en-GB"/>
                              </w:rPr>
                              <w:drawing>
                                <wp:inline distT="0" distB="0" distL="0" distR="0" wp14:anchorId="564FA089" wp14:editId="47CE7F83">
                                  <wp:extent cx="1836212" cy="634314"/>
                                  <wp:effectExtent l="0" t="0" r="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9">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36C28" id="_x0000_t202" coordsize="21600,21600" o:spt="202" path="m,l,21600r21600,l21600,xe">
                <v:stroke joinstyle="miter"/>
                <v:path gradientshapeok="t" o:connecttype="rect"/>
              </v:shapetype>
              <v:shape id="Text Box 2" o:spid="_x0000_s1026" type="#_x0000_t202" style="position:absolute;left:0;text-align:left;margin-left:598.3pt;margin-top:19.6pt;width:148.6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" stroked="f">
                <v:textbox>
                  <w:txbxContent>
                    <w:p w:rsidR="00D41215" w:rsidRDefault="00D41215" w:rsidP="00D41215">
                      <w:pPr>
                        <w:jc w:val="center"/>
                      </w:pPr>
                      <w:r>
                        <w:rPr>
                          <w:noProof/>
                          <w:lang w:val="en-GB" w:eastAsia="en-GB"/>
                        </w:rPr>
                        <w:drawing>
                          <wp:inline distT="0" distB="0" distL="0" distR="0" wp14:anchorId="564FA089" wp14:editId="47CE7F83">
                            <wp:extent cx="1836212" cy="634314"/>
                            <wp:effectExtent l="0" t="0" r="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9">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37004A" w:rsidRPr="00C70806" w:rsidRDefault="00C65912" w:rsidP="00C65912">
      <w:pPr>
        <w:pStyle w:val="Heading1"/>
        <w:pBdr>
          <w:top w:val="single" w:sz="4" w:space="1" w:color="auto"/>
          <w:left w:val="single" w:sz="4" w:space="4" w:color="auto"/>
          <w:bottom w:val="single" w:sz="4" w:space="0" w:color="auto"/>
          <w:right w:val="single" w:sz="4" w:space="4" w:color="auto"/>
        </w:pBdr>
        <w:ind w:left="91"/>
        <w:jc w:val="center"/>
        <w:rPr>
          <w:sz w:val="28"/>
          <w:szCs w:val="28"/>
        </w:rPr>
      </w:pPr>
      <w:r>
        <w:rPr>
          <w:sz w:val="28"/>
          <w:szCs w:val="28"/>
        </w:rPr>
        <w:t>Annex I</w:t>
      </w:r>
    </w:p>
    <w:p w:rsidR="00D41215" w:rsidRPr="00C70806" w:rsidRDefault="0037004A" w:rsidP="00D41215">
      <w:pPr>
        <w:pStyle w:val="Heading1"/>
        <w:pBdr>
          <w:top w:val="single" w:sz="4" w:space="1" w:color="auto"/>
          <w:left w:val="single" w:sz="4" w:space="4" w:color="auto"/>
          <w:bottom w:val="single" w:sz="4" w:space="0" w:color="auto"/>
          <w:right w:val="single" w:sz="4" w:space="4" w:color="auto"/>
        </w:pBdr>
        <w:ind w:left="91"/>
        <w:rPr>
          <w:sz w:val="28"/>
          <w:szCs w:val="28"/>
        </w:rPr>
      </w:pPr>
      <w:r w:rsidRPr="00C70806">
        <w:rPr>
          <w:sz w:val="28"/>
          <w:szCs w:val="28"/>
        </w:rPr>
        <w:t xml:space="preserve">  </w:t>
      </w:r>
    </w:p>
    <w:p w:rsidR="00D41215" w:rsidRPr="00C70806" w:rsidRDefault="00D41215" w:rsidP="00D41215">
      <w:pPr>
        <w:pStyle w:val="Heading1"/>
        <w:pBdr>
          <w:top w:val="single" w:sz="4" w:space="1" w:color="auto"/>
          <w:left w:val="single" w:sz="4" w:space="4" w:color="auto"/>
          <w:bottom w:val="single" w:sz="4" w:space="0" w:color="auto"/>
          <w:right w:val="single" w:sz="4" w:space="4" w:color="auto"/>
        </w:pBdr>
        <w:ind w:left="91"/>
        <w:rPr>
          <w:sz w:val="28"/>
          <w:szCs w:val="28"/>
        </w:rPr>
      </w:pPr>
      <w:r w:rsidRPr="00C70806">
        <w:rPr>
          <w:sz w:val="28"/>
          <w:szCs w:val="28"/>
        </w:rPr>
        <w:t>Format for providing public comments</w:t>
      </w:r>
      <w:r w:rsidR="00C70806" w:rsidRPr="00C70806">
        <w:rPr>
          <w:sz w:val="28"/>
          <w:szCs w:val="28"/>
        </w:rPr>
        <w:t xml:space="preserve"> to DIFCA</w:t>
      </w:r>
      <w:r w:rsidR="001E6714">
        <w:rPr>
          <w:sz w:val="28"/>
          <w:szCs w:val="28"/>
        </w:rPr>
        <w:t xml:space="preserve"> on Consultation P</w:t>
      </w:r>
      <w:r w:rsidRPr="00C70806">
        <w:rPr>
          <w:sz w:val="28"/>
          <w:szCs w:val="28"/>
        </w:rPr>
        <w:t>aper</w:t>
      </w:r>
      <w:r w:rsidR="00EE72C3">
        <w:rPr>
          <w:sz w:val="28"/>
          <w:szCs w:val="28"/>
        </w:rPr>
        <w:t xml:space="preserve"> No.</w:t>
      </w:r>
      <w:r w:rsidR="00524378">
        <w:rPr>
          <w:sz w:val="28"/>
          <w:szCs w:val="28"/>
        </w:rPr>
        <w:t xml:space="preserve"> </w:t>
      </w:r>
      <w:bookmarkStart w:id="0" w:name="_GoBack"/>
      <w:bookmarkEnd w:id="0"/>
      <w:r w:rsidR="00524378">
        <w:rPr>
          <w:sz w:val="28"/>
          <w:szCs w:val="28"/>
        </w:rPr>
        <w:t xml:space="preserve">8 </w:t>
      </w:r>
      <w:r w:rsidR="007B3715" w:rsidRPr="0083352C">
        <w:rPr>
          <w:sz w:val="28"/>
          <w:szCs w:val="28"/>
        </w:rPr>
        <w:t>of 2018</w:t>
      </w:r>
    </w:p>
    <w:p w:rsidR="00C70806" w:rsidRPr="00C70806" w:rsidRDefault="00C65912" w:rsidP="00EE72C3">
      <w:pPr>
        <w:pStyle w:val="Heading1"/>
        <w:pBdr>
          <w:top w:val="single" w:sz="4" w:space="1" w:color="auto"/>
          <w:left w:val="single" w:sz="4" w:space="4" w:color="auto"/>
          <w:bottom w:val="single" w:sz="4" w:space="0" w:color="auto"/>
          <w:right w:val="single" w:sz="4" w:space="4" w:color="auto"/>
        </w:pBdr>
        <w:ind w:left="91"/>
        <w:rPr>
          <w:sz w:val="28"/>
          <w:szCs w:val="28"/>
        </w:rPr>
      </w:pPr>
      <w:r>
        <w:rPr>
          <w:sz w:val="28"/>
          <w:szCs w:val="28"/>
        </w:rPr>
        <w:t>Insolvency Law</w:t>
      </w:r>
    </w:p>
    <w:tbl>
      <w:tblPr>
        <w:tblStyle w:val="TableGrid"/>
        <w:tblW w:w="15120" w:type="dxa"/>
        <w:tblInd w:w="108"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5120"/>
      </w:tblGrid>
      <w:tr w:rsidR="00720EA9" w:rsidTr="00DC6619">
        <w:trPr>
          <w:trHeight w:hRule="exact" w:val="2911"/>
        </w:trPr>
        <w:tc>
          <w:tcPr>
            <w:tcW w:w="15120" w:type="dxa"/>
            <w:shd w:val="clear" w:color="auto" w:fill="FFFFFF" w:themeFill="background1"/>
            <w:vAlign w:val="center"/>
          </w:tcPr>
          <w:p w:rsidR="002B14C2" w:rsidRPr="00DC6619" w:rsidRDefault="002B14C2" w:rsidP="008E57B0">
            <w:pPr>
              <w:pStyle w:val="TableHeader"/>
              <w:jc w:val="both"/>
              <w:rPr>
                <w:b w:val="0"/>
                <w:color w:val="auto"/>
                <w:sz w:val="20"/>
                <w:szCs w:val="20"/>
              </w:rPr>
            </w:pPr>
            <w:r w:rsidRPr="00DC6619">
              <w:rPr>
                <w:b w:val="0"/>
                <w:color w:val="auto"/>
                <w:sz w:val="20"/>
                <w:szCs w:val="20"/>
                <w:u w:val="single"/>
              </w:rPr>
              <w:t>Note 1:</w:t>
            </w:r>
            <w:r w:rsidRPr="00DC6619">
              <w:rPr>
                <w:b w:val="0"/>
                <w:color w:val="auto"/>
                <w:sz w:val="20"/>
                <w:szCs w:val="20"/>
              </w:rPr>
              <w:tab/>
              <w:t xml:space="preserve">DIFCA reserves the right to publish, including on its website, any comments you provide. However, if you wish to remain anonymous, you must expressly request at the time of making comments that this should be the case. </w:t>
            </w:r>
          </w:p>
          <w:p w:rsidR="002B14C2" w:rsidRPr="00DC6619" w:rsidRDefault="002B14C2" w:rsidP="008E57B0">
            <w:pPr>
              <w:pStyle w:val="TableHeader"/>
              <w:jc w:val="both"/>
              <w:rPr>
                <w:b w:val="0"/>
                <w:color w:val="auto"/>
                <w:sz w:val="20"/>
                <w:szCs w:val="20"/>
              </w:rPr>
            </w:pPr>
          </w:p>
          <w:p w:rsidR="002B14C2" w:rsidRPr="00DC6619" w:rsidRDefault="002B14C2" w:rsidP="008E57B0">
            <w:pPr>
              <w:pStyle w:val="TableHeader"/>
              <w:jc w:val="both"/>
              <w:rPr>
                <w:b w:val="0"/>
                <w:color w:val="auto"/>
                <w:sz w:val="20"/>
                <w:szCs w:val="20"/>
              </w:rPr>
            </w:pPr>
            <w:r w:rsidRPr="00DC6619">
              <w:rPr>
                <w:b w:val="0"/>
                <w:color w:val="auto"/>
                <w:sz w:val="20"/>
                <w:szCs w:val="20"/>
                <w:u w:val="single"/>
              </w:rPr>
              <w:t>Note 2:</w:t>
            </w:r>
            <w:r w:rsidRPr="00DC6619">
              <w:rPr>
                <w:b w:val="0"/>
                <w:color w:val="auto"/>
                <w:sz w:val="20"/>
                <w:szCs w:val="20"/>
              </w:rPr>
              <w:tab/>
              <w:t xml:space="preserve">The second column, ‘comments on proposed policy’ relates to the policy explained in the CP paragraphs specified. The third column, ‘comments on </w:t>
            </w:r>
            <w:r w:rsidR="008E57B0">
              <w:rPr>
                <w:b w:val="0"/>
                <w:color w:val="auto"/>
                <w:sz w:val="20"/>
                <w:szCs w:val="20"/>
              </w:rPr>
              <w:t>legislation</w:t>
            </w:r>
            <w:r w:rsidRPr="00DC6619">
              <w:rPr>
                <w:b w:val="0"/>
                <w:color w:val="auto"/>
                <w:sz w:val="20"/>
                <w:szCs w:val="20"/>
              </w:rPr>
              <w:t xml:space="preserve">’ refers to the draft </w:t>
            </w:r>
            <w:r w:rsidR="00493CB7">
              <w:rPr>
                <w:b w:val="0"/>
                <w:color w:val="auto"/>
                <w:sz w:val="20"/>
                <w:szCs w:val="20"/>
              </w:rPr>
              <w:t>legislation</w:t>
            </w:r>
            <w:r w:rsidRPr="00DC6619">
              <w:rPr>
                <w:b w:val="0"/>
                <w:color w:val="auto"/>
                <w:sz w:val="20"/>
                <w:szCs w:val="20"/>
              </w:rPr>
              <w:t xml:space="preserve"> reflecting the proposed policy.</w:t>
            </w:r>
          </w:p>
          <w:p w:rsidR="002B14C2" w:rsidRPr="00DC6619" w:rsidRDefault="002B14C2" w:rsidP="008E57B0">
            <w:pPr>
              <w:pStyle w:val="TableHeader"/>
              <w:jc w:val="both"/>
              <w:rPr>
                <w:b w:val="0"/>
                <w:color w:val="auto"/>
                <w:sz w:val="20"/>
                <w:szCs w:val="20"/>
              </w:rPr>
            </w:pPr>
          </w:p>
          <w:p w:rsidR="002B14C2" w:rsidRPr="00DC6619" w:rsidRDefault="002B14C2" w:rsidP="008E57B0">
            <w:pPr>
              <w:pStyle w:val="TableHeader"/>
              <w:jc w:val="both"/>
              <w:rPr>
                <w:b w:val="0"/>
                <w:color w:val="auto"/>
                <w:sz w:val="20"/>
                <w:szCs w:val="20"/>
              </w:rPr>
            </w:pPr>
            <w:r w:rsidRPr="00DC6619">
              <w:rPr>
                <w:b w:val="0"/>
                <w:color w:val="auto"/>
                <w:sz w:val="20"/>
                <w:szCs w:val="20"/>
                <w:u w:val="single"/>
              </w:rPr>
              <w:t>Note 3:</w:t>
            </w:r>
            <w:r w:rsidRPr="00DC6619">
              <w:rPr>
                <w:b w:val="0"/>
                <w:color w:val="auto"/>
                <w:sz w:val="20"/>
                <w:szCs w:val="20"/>
              </w:rPr>
              <w:tab/>
              <w:t xml:space="preserve">It is possible that you may not have any comments, either on the proposed policy or draft </w:t>
            </w:r>
            <w:r w:rsidR="00493CB7">
              <w:rPr>
                <w:b w:val="0"/>
                <w:color w:val="auto"/>
                <w:sz w:val="20"/>
                <w:szCs w:val="20"/>
              </w:rPr>
              <w:t>legislation</w:t>
            </w:r>
            <w:r w:rsidRPr="00DC6619">
              <w:rPr>
                <w:b w:val="0"/>
                <w:color w:val="auto"/>
                <w:sz w:val="20"/>
                <w:szCs w:val="20"/>
              </w:rPr>
              <w:t xml:space="preserve">, or may have comments on one and not the other. You may leave a blank column if you either agree to the proposed position, or you have no concerns relating it. </w:t>
            </w:r>
          </w:p>
          <w:p w:rsidR="002B14C2" w:rsidRPr="00DC6619" w:rsidRDefault="002B14C2" w:rsidP="008E57B0">
            <w:pPr>
              <w:pStyle w:val="TableHeader"/>
              <w:jc w:val="both"/>
              <w:rPr>
                <w:b w:val="0"/>
                <w:color w:val="auto"/>
                <w:sz w:val="20"/>
                <w:szCs w:val="20"/>
              </w:rPr>
            </w:pPr>
          </w:p>
          <w:p w:rsidR="00D41215" w:rsidRPr="00AD036C" w:rsidRDefault="002B14C2" w:rsidP="008E57B0">
            <w:pPr>
              <w:pStyle w:val="TableHeader"/>
              <w:jc w:val="both"/>
              <w:rPr>
                <w:sz w:val="20"/>
                <w:szCs w:val="20"/>
              </w:rPr>
            </w:pPr>
            <w:r w:rsidRPr="00DC6619">
              <w:rPr>
                <w:b w:val="0"/>
                <w:color w:val="auto"/>
                <w:sz w:val="20"/>
                <w:szCs w:val="20"/>
                <w:u w:val="single"/>
              </w:rPr>
              <w:t>Note 4:</w:t>
            </w:r>
            <w:r w:rsidRPr="00DC6619">
              <w:rPr>
                <w:b w:val="0"/>
                <w:color w:val="auto"/>
                <w:sz w:val="20"/>
                <w:szCs w:val="20"/>
              </w:rPr>
              <w:tab/>
              <w:t xml:space="preserve">If there are any ambiguities relating to the proposed policy or draft </w:t>
            </w:r>
            <w:r w:rsidR="00493CB7">
              <w:rPr>
                <w:b w:val="0"/>
                <w:color w:val="auto"/>
                <w:sz w:val="20"/>
                <w:szCs w:val="20"/>
              </w:rPr>
              <w:t>legislation</w:t>
            </w:r>
            <w:r w:rsidRPr="00DC6619">
              <w:rPr>
                <w:b w:val="0"/>
                <w:color w:val="auto"/>
                <w:sz w:val="20"/>
                <w:szCs w:val="20"/>
              </w:rPr>
              <w:t>, you may raise those in your comments.</w:t>
            </w:r>
          </w:p>
        </w:tc>
      </w:tr>
    </w:tbl>
    <w:p w:rsidR="00907366" w:rsidRDefault="00907366">
      <w:pPr>
        <w:rPr>
          <w:color w:val="auto"/>
          <w:sz w:val="24"/>
        </w:rPr>
      </w:pPr>
    </w:p>
    <w:p w:rsidR="00781157" w:rsidRDefault="00781157">
      <w:pPr>
        <w:rPr>
          <w:color w:val="auto"/>
          <w:sz w:val="24"/>
        </w:rPr>
      </w:pPr>
    </w:p>
    <w:tbl>
      <w:tblPr>
        <w:tblStyle w:val="TableGrid"/>
        <w:tblW w:w="151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5670"/>
        <w:gridCol w:w="9450"/>
      </w:tblGrid>
      <w:tr w:rsidR="00781157" w:rsidRPr="00D41215" w:rsidTr="00DC6619">
        <w:trPr>
          <w:trHeight w:val="227"/>
          <w:tblHeader/>
        </w:trPr>
        <w:tc>
          <w:tcPr>
            <w:tcW w:w="5670" w:type="dxa"/>
            <w:vAlign w:val="center"/>
          </w:tcPr>
          <w:p w:rsidR="00781157" w:rsidRPr="00D41215" w:rsidRDefault="00781157" w:rsidP="00F64A58">
            <w:pPr>
              <w:ind w:left="176"/>
              <w:rPr>
                <w:b/>
                <w:sz w:val="22"/>
                <w:szCs w:val="16"/>
              </w:rPr>
            </w:pPr>
            <w:r w:rsidRPr="00D41215">
              <w:rPr>
                <w:b/>
                <w:sz w:val="22"/>
                <w:szCs w:val="16"/>
              </w:rPr>
              <w:t xml:space="preserve">Name of individual / </w:t>
            </w:r>
            <w:r>
              <w:rPr>
                <w:b/>
                <w:sz w:val="22"/>
                <w:szCs w:val="16"/>
              </w:rPr>
              <w:t>entity providing com</w:t>
            </w:r>
            <w:r w:rsidRPr="00D41215">
              <w:rPr>
                <w:b/>
                <w:sz w:val="22"/>
                <w:szCs w:val="16"/>
              </w:rPr>
              <w:t>ment</w:t>
            </w:r>
            <w:r>
              <w:rPr>
                <w:b/>
                <w:sz w:val="22"/>
                <w:szCs w:val="16"/>
              </w:rPr>
              <w:t>s:</w:t>
            </w:r>
          </w:p>
        </w:tc>
        <w:tc>
          <w:tcPr>
            <w:tcW w:w="9450" w:type="dxa"/>
            <w:vAlign w:val="center"/>
          </w:tcPr>
          <w:p w:rsidR="00781157" w:rsidRPr="00D41215" w:rsidRDefault="00781157" w:rsidP="00F64A58">
            <w:pPr>
              <w:ind w:firstLine="176"/>
              <w:rPr>
                <w:color w:val="auto"/>
                <w:sz w:val="22"/>
              </w:rPr>
            </w:pPr>
          </w:p>
        </w:tc>
      </w:tr>
    </w:tbl>
    <w:p w:rsidR="00781157" w:rsidRDefault="00781157">
      <w:pPr>
        <w:rPr>
          <w:color w:val="auto"/>
          <w:sz w:val="24"/>
        </w:rPr>
      </w:pPr>
    </w:p>
    <w:tbl>
      <w:tblPr>
        <w:tblStyle w:val="TableGrid"/>
        <w:tblW w:w="0" w:type="auto"/>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bottom w:w="113" w:type="dxa"/>
        </w:tblCellMar>
        <w:tblLook w:val="04A0" w:firstRow="1" w:lastRow="0" w:firstColumn="1" w:lastColumn="0" w:noHBand="0" w:noVBand="1"/>
      </w:tblPr>
      <w:tblGrid>
        <w:gridCol w:w="720"/>
        <w:gridCol w:w="7200"/>
        <w:gridCol w:w="7200"/>
      </w:tblGrid>
      <w:tr w:rsidR="000C5C06" w:rsidRPr="00D41215" w:rsidTr="00DC2D79">
        <w:trPr>
          <w:trHeight w:hRule="exact" w:val="388"/>
          <w:tblHeader/>
        </w:trPr>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rPr>
                <w:szCs w:val="2"/>
              </w:rPr>
            </w:pPr>
            <w:r>
              <w:rPr>
                <w:szCs w:val="2"/>
              </w:rPr>
              <w:t xml:space="preserve">No. </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jc w:val="center"/>
              <w:rPr>
                <w:szCs w:val="2"/>
              </w:rPr>
            </w:pPr>
            <w:r>
              <w:rPr>
                <w:szCs w:val="2"/>
              </w:rPr>
              <w:t>Comments on proposed policy</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8E57B0">
            <w:pPr>
              <w:pStyle w:val="TableHeader"/>
              <w:jc w:val="center"/>
              <w:rPr>
                <w:szCs w:val="2"/>
              </w:rPr>
            </w:pPr>
            <w:r>
              <w:rPr>
                <w:szCs w:val="2"/>
              </w:rPr>
              <w:t>Comments on legislation</w:t>
            </w:r>
          </w:p>
        </w:tc>
      </w:tr>
      <w:tr w:rsidR="000C5C06" w:rsidRPr="00135CDB" w:rsidTr="00DC2D79">
        <w:trPr>
          <w:trHeight w:hRule="exact" w:val="388"/>
        </w:trPr>
        <w:tc>
          <w:tcPr>
            <w:tcW w:w="15120" w:type="dxa"/>
            <w:gridSpan w:val="3"/>
            <w:tcBorders>
              <w:top w:val="single" w:sz="4" w:space="0" w:color="FFFFFF" w:themeColor="background1"/>
              <w:left w:val="single" w:sz="4" w:space="0" w:color="auto"/>
              <w:bottom w:val="single" w:sz="4" w:space="0" w:color="auto"/>
              <w:right w:val="single" w:sz="4" w:space="0" w:color="auto"/>
            </w:tcBorders>
            <w:shd w:val="clear" w:color="auto" w:fill="10123C" w:themeFill="accent1"/>
          </w:tcPr>
          <w:p w:rsidR="000C5C06" w:rsidRPr="00135CDB" w:rsidRDefault="00BA35EA" w:rsidP="007B3715">
            <w:pPr>
              <w:pStyle w:val="TableHeader"/>
              <w:rPr>
                <w:bCs/>
                <w:color w:val="auto"/>
                <w:szCs w:val="2"/>
              </w:rPr>
            </w:pPr>
            <w:r>
              <w:rPr>
                <w:bCs/>
                <w:color w:val="auto"/>
                <w:szCs w:val="2"/>
              </w:rPr>
              <w:t>The new rehabilitation procedure</w:t>
            </w:r>
          </w:p>
        </w:tc>
      </w:tr>
      <w:tr w:rsidR="000C5C06" w:rsidRPr="003153DB" w:rsidTr="00C23E71">
        <w:trPr>
          <w:trHeight w:hRule="exact" w:val="79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C5C06" w:rsidRPr="003153DB" w:rsidRDefault="000C5C06" w:rsidP="00BA35EA">
            <w:pPr>
              <w:pStyle w:val="BodyText"/>
              <w:kinsoku w:val="0"/>
              <w:overflowPunct w:val="0"/>
              <w:autoSpaceDE w:val="0"/>
              <w:autoSpaceDN w:val="0"/>
              <w:spacing w:after="0"/>
              <w:rPr>
                <w:color w:val="auto"/>
                <w:szCs w:val="22"/>
              </w:rPr>
            </w:pPr>
            <w:r w:rsidRPr="00EC434A">
              <w:rPr>
                <w:b/>
                <w:color w:val="auto"/>
                <w:sz w:val="22"/>
                <w:szCs w:val="22"/>
              </w:rPr>
              <w:t xml:space="preserve">Q1: </w:t>
            </w:r>
            <w:r w:rsidR="00BA35EA">
              <w:rPr>
                <w:b/>
                <w:color w:val="auto"/>
                <w:sz w:val="22"/>
                <w:szCs w:val="22"/>
              </w:rPr>
              <w:t>Do you agree with our proposal to introduce a further restructuring mechanism with the Proposed Law?</w:t>
            </w:r>
          </w:p>
        </w:tc>
      </w:tr>
      <w:tr w:rsidR="000C5C06"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0C5C06"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F4ADA" w:rsidRDefault="002F4ADA" w:rsidP="000C5C06">
            <w:pPr>
              <w:pStyle w:val="TableHeader"/>
              <w:rPr>
                <w:b w:val="0"/>
                <w:color w:val="auto"/>
                <w:szCs w:val="2"/>
              </w:rPr>
            </w:pPr>
          </w:p>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0C5C06" w:rsidRPr="002F4ADA" w:rsidRDefault="002F4ADA" w:rsidP="002F4ADA">
            <w:pPr>
              <w:tabs>
                <w:tab w:val="left" w:pos="3996"/>
              </w:tabs>
            </w:pPr>
            <w:r>
              <w:tab/>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F4ADA" w:rsidRDefault="002F4ADA" w:rsidP="000C5C06">
            <w:pPr>
              <w:pStyle w:val="TableHeader"/>
              <w:rPr>
                <w:b w:val="0"/>
                <w:color w:val="auto"/>
                <w:szCs w:val="2"/>
              </w:rPr>
            </w:pPr>
          </w:p>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0C5C06" w:rsidRPr="002F4ADA" w:rsidRDefault="000C5C06" w:rsidP="002F4ADA">
            <w:pPr>
              <w:jc w:val="center"/>
            </w:pPr>
          </w:p>
        </w:tc>
      </w:tr>
      <w:tr w:rsidR="00C23E71" w:rsidRPr="00D41215" w:rsidTr="00BA35EA">
        <w:trPr>
          <w:trHeight w:hRule="exact" w:val="115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C23E71" w:rsidRPr="000C5C06" w:rsidRDefault="00C23E71" w:rsidP="00431B39">
            <w:pPr>
              <w:pStyle w:val="TableHeader"/>
              <w:keepNext/>
              <w:keepLines/>
              <w:rPr>
                <w:b w:val="0"/>
                <w:color w:val="auto"/>
                <w:szCs w:val="2"/>
              </w:rPr>
            </w:pPr>
            <w:r>
              <w:rPr>
                <w:bCs/>
                <w:color w:val="auto"/>
                <w:szCs w:val="22"/>
              </w:rPr>
              <w:lastRenderedPageBreak/>
              <w:t>Q2</w:t>
            </w:r>
            <w:r w:rsidRPr="00EC434A">
              <w:rPr>
                <w:bCs/>
                <w:color w:val="auto"/>
                <w:szCs w:val="22"/>
              </w:rPr>
              <w:t xml:space="preserve">: </w:t>
            </w:r>
            <w:r w:rsidR="00BA35EA">
              <w:rPr>
                <w:bCs/>
                <w:color w:val="auto"/>
                <w:szCs w:val="22"/>
              </w:rPr>
              <w:t>Do you think that the proposed rehabilitation procedure adequately balances the interests of the debtor whilst providing adequat</w:t>
            </w:r>
            <w:r w:rsidR="00431B39">
              <w:rPr>
                <w:bCs/>
                <w:color w:val="auto"/>
                <w:szCs w:val="22"/>
              </w:rPr>
              <w:t xml:space="preserve">e </w:t>
            </w:r>
            <w:r w:rsidR="00BA35EA">
              <w:rPr>
                <w:bCs/>
                <w:color w:val="auto"/>
                <w:szCs w:val="22"/>
              </w:rPr>
              <w:t>safeguards for creditors? In particular, please provide any comments on the introduction (a) a cram down mechanism; (b) a moratorium; (c) a nominee supervising the procedure; and (d) priority financing</w:t>
            </w:r>
          </w:p>
        </w:tc>
      </w:tr>
      <w:tr w:rsidR="007F141D"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7F141D" w:rsidRPr="000C5C06" w:rsidRDefault="007F141D" w:rsidP="00451525">
            <w:pPr>
              <w:pStyle w:val="TableHeader"/>
              <w:keepNext/>
              <w:keepLines/>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7F141D" w:rsidRPr="000C5C06" w:rsidRDefault="007F141D" w:rsidP="00451525">
            <w:pPr>
              <w:pStyle w:val="TableHeader"/>
              <w:keepNext/>
              <w:keepLines/>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7F141D" w:rsidRPr="000C5C06" w:rsidRDefault="007F141D" w:rsidP="00451525">
            <w:pPr>
              <w:pStyle w:val="TableHeader"/>
              <w:keepNext/>
              <w:keepLines/>
              <w:rPr>
                <w:b w:val="0"/>
                <w:color w:val="auto"/>
                <w:szCs w:val="2"/>
              </w:rPr>
            </w:pPr>
          </w:p>
        </w:tc>
      </w:tr>
      <w:tr w:rsidR="007F141D"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7F141D" w:rsidRPr="000C5C06" w:rsidRDefault="007F141D" w:rsidP="00451525">
            <w:pPr>
              <w:pStyle w:val="TableHeader"/>
              <w:keepNext/>
              <w:keepLines/>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7F141D" w:rsidRPr="000C5C06" w:rsidRDefault="007F141D" w:rsidP="00451525">
            <w:pPr>
              <w:pStyle w:val="TableHeader"/>
              <w:keepNext/>
              <w:keepLines/>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7F141D" w:rsidRPr="000C5C06" w:rsidRDefault="007F141D" w:rsidP="00451525">
            <w:pPr>
              <w:pStyle w:val="TableHeader"/>
              <w:keepNext/>
              <w:keepLines/>
              <w:rPr>
                <w:b w:val="0"/>
                <w:color w:val="auto"/>
                <w:szCs w:val="2"/>
              </w:rPr>
            </w:pPr>
          </w:p>
        </w:tc>
      </w:tr>
      <w:tr w:rsidR="0056004A" w:rsidRPr="002B14C2" w:rsidTr="00B5143C">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56004A" w:rsidRPr="002B14C2" w:rsidRDefault="0080135E" w:rsidP="00B5143C">
            <w:pPr>
              <w:pStyle w:val="TableHeader"/>
              <w:rPr>
                <w:color w:val="auto"/>
                <w:szCs w:val="2"/>
              </w:rPr>
            </w:pPr>
            <w:r>
              <w:rPr>
                <w:color w:val="auto"/>
                <w:szCs w:val="2"/>
              </w:rPr>
              <w:t>The new administration procedure accessible via rehabilitation only</w:t>
            </w:r>
          </w:p>
        </w:tc>
      </w:tr>
      <w:tr w:rsidR="004A438A" w:rsidRPr="00EC434A" w:rsidTr="004A438A">
        <w:trPr>
          <w:trHeight w:hRule="exact" w:val="751"/>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4A438A" w:rsidRPr="00EC434A" w:rsidRDefault="0080135E" w:rsidP="0080135E">
            <w:pPr>
              <w:pStyle w:val="BodyText"/>
              <w:keepNext/>
              <w:keepLines/>
              <w:tabs>
                <w:tab w:val="left" w:pos="426"/>
              </w:tabs>
              <w:kinsoku w:val="0"/>
              <w:overflowPunct w:val="0"/>
              <w:autoSpaceDE w:val="0"/>
              <w:autoSpaceDN w:val="0"/>
              <w:rPr>
                <w:bCs/>
                <w:color w:val="auto"/>
                <w:szCs w:val="22"/>
              </w:rPr>
            </w:pPr>
            <w:r>
              <w:rPr>
                <w:b/>
                <w:bCs/>
                <w:color w:val="auto"/>
                <w:sz w:val="22"/>
                <w:szCs w:val="22"/>
              </w:rPr>
              <w:t>Q3</w:t>
            </w:r>
            <w:r w:rsidR="004A438A" w:rsidRPr="00EC434A">
              <w:rPr>
                <w:b/>
                <w:bCs/>
                <w:color w:val="auto"/>
                <w:sz w:val="22"/>
                <w:szCs w:val="22"/>
              </w:rPr>
              <w:t xml:space="preserve">: </w:t>
            </w:r>
            <w:r w:rsidRPr="0080135E">
              <w:rPr>
                <w:b/>
                <w:bCs/>
                <w:color w:val="auto"/>
                <w:sz w:val="22"/>
                <w:szCs w:val="22"/>
              </w:rPr>
              <w:t>Do you have any concerns regarding the introduction of a new rehabilitation procedure that displaces management in this way?</w:t>
            </w:r>
          </w:p>
        </w:tc>
      </w:tr>
      <w:tr w:rsidR="004A438A"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r>
      <w:tr w:rsidR="004A438A"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r>
      <w:tr w:rsidR="0080135E" w:rsidRPr="00D41215" w:rsidTr="0080135E">
        <w:trPr>
          <w:trHeight w:hRule="exact" w:val="73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80135E">
            <w:pPr>
              <w:pStyle w:val="TableHeader"/>
              <w:rPr>
                <w:b w:val="0"/>
                <w:color w:val="auto"/>
                <w:szCs w:val="2"/>
              </w:rPr>
            </w:pPr>
            <w:r w:rsidRPr="0080135E">
              <w:rPr>
                <w:color w:val="auto"/>
                <w:szCs w:val="22"/>
              </w:rPr>
              <w:t>Q4: Do you agree that only creditors should apply for the appointment of an administrator and that it should be accessible only within the context of the rehabilitation procedure?</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80135E">
        <w:trPr>
          <w:trHeight w:hRule="exact" w:val="77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80135E">
            <w:pPr>
              <w:pStyle w:val="TableHeader"/>
              <w:rPr>
                <w:b w:val="0"/>
                <w:color w:val="auto"/>
                <w:szCs w:val="2"/>
              </w:rPr>
            </w:pPr>
            <w:r w:rsidRPr="0080135E">
              <w:rPr>
                <w:color w:val="auto"/>
                <w:szCs w:val="22"/>
              </w:rPr>
              <w:t>Q</w:t>
            </w:r>
            <w:r>
              <w:rPr>
                <w:color w:val="auto"/>
                <w:szCs w:val="22"/>
              </w:rPr>
              <w:t>5</w:t>
            </w:r>
            <w:r w:rsidRPr="0080135E">
              <w:rPr>
                <w:color w:val="auto"/>
                <w:szCs w:val="22"/>
              </w:rPr>
              <w:t>: Do you agree that the administrator should be an insolvency practitioner?</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4A438A" w:rsidRPr="00D41215" w:rsidTr="00775ED6">
        <w:trPr>
          <w:trHeight w:hRule="exact" w:val="68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4A438A" w:rsidRPr="00EC434A" w:rsidRDefault="0080135E" w:rsidP="0080135E">
            <w:pPr>
              <w:pStyle w:val="BodyText"/>
              <w:tabs>
                <w:tab w:val="left" w:pos="426"/>
              </w:tabs>
              <w:kinsoku w:val="0"/>
              <w:overflowPunct w:val="0"/>
              <w:autoSpaceDE w:val="0"/>
              <w:autoSpaceDN w:val="0"/>
              <w:spacing w:after="0"/>
              <w:rPr>
                <w:rFonts w:cstheme="minorHAnsi"/>
                <w:b/>
                <w:color w:val="auto"/>
                <w:spacing w:val="1"/>
                <w:szCs w:val="22"/>
              </w:rPr>
            </w:pPr>
            <w:r>
              <w:rPr>
                <w:b/>
                <w:bCs/>
                <w:color w:val="auto"/>
                <w:sz w:val="22"/>
                <w:szCs w:val="22"/>
              </w:rPr>
              <w:lastRenderedPageBreak/>
              <w:t>Q6</w:t>
            </w:r>
            <w:r w:rsidR="004A438A" w:rsidRPr="00EC434A">
              <w:rPr>
                <w:b/>
                <w:bCs/>
                <w:color w:val="auto"/>
                <w:sz w:val="22"/>
                <w:szCs w:val="22"/>
              </w:rPr>
              <w:t xml:space="preserve">: </w:t>
            </w:r>
            <w:r w:rsidRPr="0080135E">
              <w:rPr>
                <w:b/>
                <w:bCs/>
                <w:color w:val="auto"/>
                <w:sz w:val="22"/>
                <w:szCs w:val="22"/>
              </w:rPr>
              <w:t>Do you agree with the specific purposes of the administrator being limited to restructuring or investigation?</w:t>
            </w:r>
          </w:p>
          <w:p w:rsidR="004A438A" w:rsidRPr="00EC434A" w:rsidRDefault="004A438A" w:rsidP="00F847D8">
            <w:pPr>
              <w:pStyle w:val="BodyText"/>
              <w:tabs>
                <w:tab w:val="left" w:pos="426"/>
              </w:tabs>
              <w:kinsoku w:val="0"/>
              <w:overflowPunct w:val="0"/>
              <w:autoSpaceDE w:val="0"/>
              <w:autoSpaceDN w:val="0"/>
              <w:spacing w:after="0"/>
              <w:rPr>
                <w:rFonts w:cstheme="minorHAnsi"/>
                <w:b/>
                <w:color w:val="auto"/>
                <w:spacing w:val="1"/>
                <w:sz w:val="22"/>
                <w:szCs w:val="22"/>
              </w:rPr>
            </w:pPr>
          </w:p>
          <w:p w:rsidR="004A438A" w:rsidRPr="00EC434A" w:rsidRDefault="004A438A" w:rsidP="00F847D8">
            <w:pPr>
              <w:pStyle w:val="TableHeader"/>
              <w:rPr>
                <w:b w:val="0"/>
                <w:color w:val="auto"/>
                <w:szCs w:val="2"/>
              </w:rPr>
            </w:pPr>
          </w:p>
        </w:tc>
      </w:tr>
      <w:tr w:rsidR="004A438A"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r>
      <w:tr w:rsidR="004A438A"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A438A" w:rsidRPr="000C5C06" w:rsidRDefault="004A438A" w:rsidP="000C5C06">
            <w:pPr>
              <w:pStyle w:val="TableHeader"/>
              <w:rPr>
                <w:b w:val="0"/>
                <w:color w:val="auto"/>
                <w:szCs w:val="2"/>
              </w:rPr>
            </w:pPr>
          </w:p>
        </w:tc>
      </w:tr>
      <w:tr w:rsidR="0080135E" w:rsidRPr="00D41215" w:rsidTr="0080135E">
        <w:trPr>
          <w:trHeight w:hRule="exact" w:val="113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EC434A" w:rsidRDefault="0080135E" w:rsidP="0080135E">
            <w:pPr>
              <w:pStyle w:val="BodyText"/>
              <w:tabs>
                <w:tab w:val="left" w:pos="426"/>
              </w:tabs>
              <w:kinsoku w:val="0"/>
              <w:overflowPunct w:val="0"/>
              <w:autoSpaceDE w:val="0"/>
              <w:autoSpaceDN w:val="0"/>
              <w:spacing w:after="0"/>
              <w:rPr>
                <w:rFonts w:cstheme="minorHAnsi"/>
                <w:b/>
                <w:color w:val="auto"/>
                <w:spacing w:val="1"/>
                <w:sz w:val="22"/>
                <w:szCs w:val="22"/>
              </w:rPr>
            </w:pPr>
            <w:r>
              <w:rPr>
                <w:b/>
                <w:bCs/>
                <w:color w:val="auto"/>
                <w:sz w:val="22"/>
                <w:szCs w:val="22"/>
              </w:rPr>
              <w:t>Q7</w:t>
            </w:r>
            <w:r w:rsidRPr="00EC434A">
              <w:rPr>
                <w:b/>
                <w:bCs/>
                <w:color w:val="auto"/>
                <w:sz w:val="22"/>
                <w:szCs w:val="22"/>
              </w:rPr>
              <w:t xml:space="preserve">: </w:t>
            </w:r>
            <w:r w:rsidRPr="0080135E">
              <w:rPr>
                <w:b/>
                <w:bCs/>
                <w:color w:val="auto"/>
                <w:sz w:val="22"/>
                <w:szCs w:val="22"/>
              </w:rPr>
              <w:t>Do you agree that the role should be limited, in particular that the administrator will not require any powers to continue to trade independently of the process? It should be noted that in other regimes where administrators have the ability to continue trading the majority of such instances are in the context of trading companies.</w:t>
            </w:r>
          </w:p>
          <w:p w:rsidR="0080135E" w:rsidRPr="00EC434A" w:rsidRDefault="0080135E" w:rsidP="001A20EE">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EC4D9C" w:rsidRDefault="0080135E" w:rsidP="00EC4D9C">
            <w:pPr>
              <w:pStyle w:val="TableHeader"/>
              <w:rPr>
                <w:bCs/>
                <w:color w:val="auto"/>
                <w:szCs w:val="2"/>
                <w:lang w:val="en-GB"/>
              </w:rPr>
            </w:pPr>
            <w:r>
              <w:rPr>
                <w:bCs/>
                <w:color w:val="auto"/>
                <w:szCs w:val="2"/>
                <w:lang w:val="en-GB"/>
              </w:rPr>
              <w:t>Voluntary winding up procedures</w:t>
            </w:r>
          </w:p>
          <w:p w:rsidR="0080135E" w:rsidRPr="008C7E4A" w:rsidRDefault="0080135E" w:rsidP="000C5C06">
            <w:pPr>
              <w:pStyle w:val="TableHeader"/>
              <w:rPr>
                <w:bCs/>
                <w:color w:val="auto"/>
                <w:szCs w:val="2"/>
              </w:rPr>
            </w:pPr>
          </w:p>
        </w:tc>
      </w:tr>
      <w:tr w:rsidR="0080135E" w:rsidRPr="00EC434A" w:rsidTr="0022150D">
        <w:trPr>
          <w:trHeight w:hRule="exact" w:val="724"/>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EC434A" w:rsidRDefault="0080135E" w:rsidP="0080135E">
            <w:pPr>
              <w:pStyle w:val="BodyText"/>
              <w:tabs>
                <w:tab w:val="left" w:pos="426"/>
              </w:tabs>
              <w:kinsoku w:val="0"/>
              <w:overflowPunct w:val="0"/>
              <w:autoSpaceDE w:val="0"/>
              <w:autoSpaceDN w:val="0"/>
              <w:rPr>
                <w:color w:val="auto"/>
                <w:sz w:val="22"/>
                <w:szCs w:val="22"/>
              </w:rPr>
            </w:pPr>
            <w:r>
              <w:rPr>
                <w:b/>
                <w:color w:val="auto"/>
                <w:sz w:val="22"/>
                <w:szCs w:val="22"/>
              </w:rPr>
              <w:t>Q8</w:t>
            </w:r>
            <w:r w:rsidRPr="00EC434A">
              <w:rPr>
                <w:b/>
                <w:color w:val="auto"/>
                <w:sz w:val="22"/>
                <w:szCs w:val="22"/>
              </w:rPr>
              <w:t>:</w:t>
            </w:r>
            <w:r>
              <w:t xml:space="preserve"> </w:t>
            </w:r>
            <w:r w:rsidRPr="0080135E">
              <w:rPr>
                <w:b/>
                <w:color w:val="auto"/>
                <w:sz w:val="22"/>
                <w:szCs w:val="22"/>
              </w:rPr>
              <w:t>Do you consider that these changes will improve the efficiencies and reduce costs in the voluntary liquidation procedure?</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B86946">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EC434A" w:rsidRDefault="0080135E" w:rsidP="0080135E">
            <w:pPr>
              <w:pStyle w:val="BodyText"/>
              <w:tabs>
                <w:tab w:val="left" w:pos="426"/>
              </w:tabs>
              <w:kinsoku w:val="0"/>
              <w:overflowPunct w:val="0"/>
              <w:autoSpaceDE w:val="0"/>
              <w:autoSpaceDN w:val="0"/>
              <w:rPr>
                <w:color w:val="auto"/>
                <w:sz w:val="22"/>
                <w:szCs w:val="22"/>
              </w:rPr>
            </w:pPr>
            <w:r>
              <w:rPr>
                <w:b/>
                <w:color w:val="auto"/>
                <w:sz w:val="22"/>
                <w:szCs w:val="22"/>
              </w:rPr>
              <w:t>Q9</w:t>
            </w:r>
            <w:r w:rsidRPr="00EC434A">
              <w:rPr>
                <w:b/>
                <w:color w:val="auto"/>
                <w:sz w:val="22"/>
                <w:szCs w:val="22"/>
              </w:rPr>
              <w:t>:</w:t>
            </w:r>
            <w:r>
              <w:t xml:space="preserve"> </w:t>
            </w:r>
            <w:r w:rsidRPr="0080135E">
              <w:rPr>
                <w:b/>
                <w:bCs/>
                <w:sz w:val="22"/>
                <w:szCs w:val="22"/>
              </w:rPr>
              <w:t>Are there any other changes which you consider would improve how such liquidations are currently administered?</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EC4D9C" w:rsidRDefault="00BC19CE" w:rsidP="009F2F6E">
            <w:pPr>
              <w:pStyle w:val="TableHeader"/>
              <w:keepNext/>
              <w:keepLines/>
              <w:rPr>
                <w:bCs/>
                <w:color w:val="auto"/>
                <w:szCs w:val="2"/>
                <w:lang w:val="en-GB"/>
              </w:rPr>
            </w:pPr>
            <w:r>
              <w:rPr>
                <w:bCs/>
                <w:color w:val="auto"/>
                <w:szCs w:val="2"/>
                <w:lang w:val="en-GB"/>
              </w:rPr>
              <w:lastRenderedPageBreak/>
              <w:t>Compulsory winding up procedures</w:t>
            </w:r>
          </w:p>
          <w:p w:rsidR="0080135E" w:rsidRPr="004E568E" w:rsidRDefault="0080135E" w:rsidP="009F2F6E">
            <w:pPr>
              <w:pStyle w:val="TableHeader"/>
              <w:keepNext/>
              <w:keepLines/>
              <w:rPr>
                <w:bCs/>
                <w:color w:val="auto"/>
                <w:szCs w:val="2"/>
              </w:rPr>
            </w:pPr>
          </w:p>
        </w:tc>
      </w:tr>
      <w:tr w:rsidR="0080135E" w:rsidRPr="00EC434A" w:rsidTr="00E910DE">
        <w:trPr>
          <w:trHeight w:hRule="exact" w:val="85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EC434A" w:rsidRDefault="00164C9E" w:rsidP="009F2F6E">
            <w:pPr>
              <w:pStyle w:val="BodyText"/>
              <w:keepNext/>
              <w:keepLines/>
              <w:tabs>
                <w:tab w:val="left" w:pos="426"/>
              </w:tabs>
              <w:kinsoku w:val="0"/>
              <w:overflowPunct w:val="0"/>
              <w:autoSpaceDE w:val="0"/>
              <w:autoSpaceDN w:val="0"/>
              <w:spacing w:after="0"/>
              <w:rPr>
                <w:rFonts w:cstheme="minorHAnsi"/>
                <w:b/>
                <w:color w:val="auto"/>
                <w:spacing w:val="1"/>
                <w:sz w:val="22"/>
                <w:szCs w:val="22"/>
                <w:lang w:eastAsia="en-GB"/>
              </w:rPr>
            </w:pPr>
            <w:r>
              <w:rPr>
                <w:b/>
                <w:color w:val="auto"/>
                <w:sz w:val="22"/>
                <w:szCs w:val="22"/>
              </w:rPr>
              <w:t>Q10</w:t>
            </w:r>
            <w:r w:rsidR="0080135E" w:rsidRPr="00EC434A">
              <w:rPr>
                <w:b/>
                <w:color w:val="auto"/>
                <w:sz w:val="22"/>
                <w:szCs w:val="22"/>
              </w:rPr>
              <w:t xml:space="preserve">: </w:t>
            </w:r>
            <w:r w:rsidRPr="00164C9E">
              <w:rPr>
                <w:b/>
                <w:color w:val="auto"/>
                <w:sz w:val="22"/>
                <w:szCs w:val="22"/>
              </w:rPr>
              <w:t>Do you consider that these changes will improve the efficiencies, and reduce costs in the compulsory liquidation procedure?</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r>
      <w:tr w:rsidR="00164C9E" w:rsidRPr="00EC434A" w:rsidTr="00343EA2">
        <w:trPr>
          <w:trHeight w:hRule="exact" w:val="97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164C9E" w:rsidRPr="00EC434A" w:rsidRDefault="00164C9E" w:rsidP="009F2F6E">
            <w:pPr>
              <w:pStyle w:val="BodyText"/>
              <w:keepNext/>
              <w:keepLines/>
              <w:tabs>
                <w:tab w:val="left" w:pos="426"/>
              </w:tabs>
              <w:kinsoku w:val="0"/>
              <w:overflowPunct w:val="0"/>
              <w:autoSpaceDE w:val="0"/>
              <w:autoSpaceDN w:val="0"/>
              <w:spacing w:after="0"/>
              <w:rPr>
                <w:rFonts w:cstheme="minorHAnsi"/>
                <w:b/>
                <w:color w:val="auto"/>
                <w:spacing w:val="1"/>
                <w:sz w:val="22"/>
                <w:szCs w:val="22"/>
                <w:lang w:eastAsia="en-GB"/>
              </w:rPr>
            </w:pPr>
            <w:r>
              <w:rPr>
                <w:b/>
                <w:color w:val="auto"/>
                <w:sz w:val="22"/>
                <w:szCs w:val="22"/>
              </w:rPr>
              <w:t>Q11</w:t>
            </w:r>
            <w:r w:rsidRPr="00EC434A">
              <w:rPr>
                <w:b/>
                <w:color w:val="auto"/>
                <w:sz w:val="22"/>
                <w:szCs w:val="22"/>
              </w:rPr>
              <w:t xml:space="preserve">: </w:t>
            </w:r>
            <w:r w:rsidRPr="00164C9E">
              <w:rPr>
                <w:b/>
                <w:color w:val="auto"/>
                <w:sz w:val="22"/>
                <w:szCs w:val="22"/>
              </w:rPr>
              <w:t>Are there any other changes which you consider would improve how such liquidations are currently administered?</w:t>
            </w:r>
          </w:p>
        </w:tc>
      </w:tr>
      <w:tr w:rsidR="00164C9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64C9E" w:rsidRPr="004E568E" w:rsidRDefault="00164C9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64C9E" w:rsidRPr="004E568E" w:rsidRDefault="00164C9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64C9E" w:rsidRPr="004E568E" w:rsidRDefault="00164C9E" w:rsidP="000C5C06">
            <w:pPr>
              <w:pStyle w:val="TableHeader"/>
              <w:rPr>
                <w:bCs/>
                <w:color w:val="auto"/>
                <w:szCs w:val="2"/>
              </w:rPr>
            </w:pPr>
          </w:p>
        </w:tc>
      </w:tr>
      <w:tr w:rsidR="00343EA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4E568E" w:rsidRDefault="00343EA2" w:rsidP="000C5C06">
            <w:pPr>
              <w:pStyle w:val="TableHeader"/>
              <w:rPr>
                <w:bCs/>
                <w:color w:val="auto"/>
                <w:szCs w:val="2"/>
              </w:rPr>
            </w:pPr>
            <w:r>
              <w:rPr>
                <w:bCs/>
                <w:color w:val="auto"/>
                <w:szCs w:val="2"/>
              </w:rPr>
              <w:t>Insolvency offences</w:t>
            </w:r>
          </w:p>
        </w:tc>
      </w:tr>
      <w:tr w:rsidR="0080135E" w:rsidRPr="00D41215" w:rsidTr="00972F42">
        <w:trPr>
          <w:trHeight w:hRule="exact" w:val="994"/>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EC434A" w:rsidRDefault="00343EA2" w:rsidP="00343EA2">
            <w:pPr>
              <w:pStyle w:val="BodyText"/>
              <w:tabs>
                <w:tab w:val="left" w:pos="426"/>
              </w:tabs>
              <w:kinsoku w:val="0"/>
              <w:overflowPunct w:val="0"/>
              <w:autoSpaceDE w:val="0"/>
              <w:autoSpaceDN w:val="0"/>
              <w:spacing w:after="0"/>
              <w:rPr>
                <w:color w:val="auto"/>
                <w:sz w:val="22"/>
                <w:szCs w:val="22"/>
              </w:rPr>
            </w:pPr>
            <w:r>
              <w:rPr>
                <w:b/>
                <w:color w:val="auto"/>
                <w:sz w:val="22"/>
                <w:szCs w:val="22"/>
              </w:rPr>
              <w:t>Q12</w:t>
            </w:r>
            <w:r w:rsidR="0080135E" w:rsidRPr="00EC434A">
              <w:rPr>
                <w:b/>
                <w:color w:val="auto"/>
                <w:sz w:val="22"/>
                <w:szCs w:val="22"/>
              </w:rPr>
              <w:t xml:space="preserve">: </w:t>
            </w:r>
            <w:r w:rsidRPr="00343EA2">
              <w:rPr>
                <w:b/>
                <w:color w:val="auto"/>
                <w:sz w:val="22"/>
                <w:szCs w:val="22"/>
              </w:rPr>
              <w:t>Do you think these additions adequately balance responsible management with appropriate levels of sanction for inappropriate or poor management?</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r>
      <w:tr w:rsidR="00343EA2" w:rsidRPr="00D41215" w:rsidTr="00343EA2">
        <w:trPr>
          <w:trHeight w:hRule="exact" w:val="86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343EA2" w:rsidRPr="00EC434A" w:rsidRDefault="00343EA2" w:rsidP="00343EA2">
            <w:pPr>
              <w:pStyle w:val="BodyText"/>
              <w:tabs>
                <w:tab w:val="left" w:pos="426"/>
              </w:tabs>
              <w:kinsoku w:val="0"/>
              <w:overflowPunct w:val="0"/>
              <w:autoSpaceDE w:val="0"/>
              <w:autoSpaceDN w:val="0"/>
              <w:spacing w:after="0"/>
              <w:rPr>
                <w:color w:val="auto"/>
                <w:sz w:val="22"/>
                <w:szCs w:val="22"/>
              </w:rPr>
            </w:pPr>
            <w:r>
              <w:rPr>
                <w:b/>
                <w:color w:val="auto"/>
                <w:sz w:val="22"/>
                <w:szCs w:val="22"/>
              </w:rPr>
              <w:t>Q13</w:t>
            </w:r>
            <w:r w:rsidRPr="00EC434A">
              <w:rPr>
                <w:b/>
                <w:color w:val="auto"/>
                <w:sz w:val="22"/>
                <w:szCs w:val="22"/>
              </w:rPr>
              <w:t>:</w:t>
            </w:r>
            <w:r>
              <w:t xml:space="preserve"> </w:t>
            </w:r>
            <w:r w:rsidRPr="00343EA2">
              <w:rPr>
                <w:b/>
                <w:color w:val="auto"/>
                <w:sz w:val="22"/>
                <w:szCs w:val="22"/>
              </w:rPr>
              <w:t>Are there any further changes which you think may encourage responsible behaviour, particularly in periods of distress and the period directly before formal procedures are commenced?</w:t>
            </w:r>
          </w:p>
        </w:tc>
      </w:tr>
      <w:tr w:rsidR="00343EA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r>
      <w:tr w:rsidR="00343EA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r>
      <w:tr w:rsidR="00343EA2" w:rsidRPr="00D41215" w:rsidTr="00343EA2">
        <w:trPr>
          <w:trHeight w:hRule="exact" w:val="124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343EA2" w:rsidRPr="00EC434A" w:rsidRDefault="00343EA2" w:rsidP="00343EA2">
            <w:pPr>
              <w:pStyle w:val="BodyText"/>
              <w:tabs>
                <w:tab w:val="left" w:pos="426"/>
              </w:tabs>
              <w:kinsoku w:val="0"/>
              <w:overflowPunct w:val="0"/>
              <w:autoSpaceDE w:val="0"/>
              <w:autoSpaceDN w:val="0"/>
              <w:spacing w:after="0"/>
              <w:rPr>
                <w:color w:val="auto"/>
                <w:sz w:val="22"/>
                <w:szCs w:val="22"/>
              </w:rPr>
            </w:pPr>
            <w:r>
              <w:rPr>
                <w:b/>
                <w:color w:val="auto"/>
                <w:sz w:val="22"/>
                <w:szCs w:val="22"/>
              </w:rPr>
              <w:t>Q14</w:t>
            </w:r>
            <w:r w:rsidRPr="00343EA2">
              <w:rPr>
                <w:b/>
                <w:color w:val="auto"/>
                <w:sz w:val="22"/>
                <w:szCs w:val="22"/>
              </w:rPr>
              <w:t>:</w:t>
            </w:r>
            <w:r w:rsidRPr="00343EA2">
              <w:rPr>
                <w:b/>
                <w:sz w:val="22"/>
                <w:szCs w:val="22"/>
              </w:rPr>
              <w:t xml:space="preserve"> Does the corporate governance framework in the DIFC relating to companies approaching insolvency, provide the right combination of high standards and low burdens?  If not, how can it be improved?  In particular, do you think that for larger more complex entities there should be stronger corporate governance rules and transparency, for example an annual confirmation statement that they have complied with their duties? Do you think shareholders should take a more active role in the stewardship of entities and monitor risks?</w:t>
            </w:r>
          </w:p>
        </w:tc>
      </w:tr>
      <w:tr w:rsidR="00343EA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r>
      <w:tr w:rsidR="00343EA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r>
      <w:tr w:rsidR="00343EA2" w:rsidRPr="00D41215" w:rsidTr="001A20EE">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343EA2" w:rsidRPr="004E568E" w:rsidRDefault="00343EA2" w:rsidP="001A20EE">
            <w:pPr>
              <w:pStyle w:val="TableHeader"/>
              <w:rPr>
                <w:bCs/>
                <w:color w:val="auto"/>
                <w:szCs w:val="2"/>
              </w:rPr>
            </w:pPr>
            <w:r>
              <w:rPr>
                <w:bCs/>
                <w:color w:val="auto"/>
                <w:szCs w:val="2"/>
              </w:rPr>
              <w:t>UNCITRAL Model Law on cross border insolvency</w:t>
            </w:r>
          </w:p>
        </w:tc>
      </w:tr>
      <w:tr w:rsidR="00343EA2" w:rsidRPr="00D41215" w:rsidTr="007C2B75">
        <w:trPr>
          <w:trHeight w:hRule="exact" w:val="904"/>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343EA2" w:rsidRPr="00EC434A" w:rsidRDefault="00343EA2" w:rsidP="00343EA2">
            <w:pPr>
              <w:pStyle w:val="BodyText"/>
              <w:tabs>
                <w:tab w:val="left" w:pos="426"/>
              </w:tabs>
              <w:kinsoku w:val="0"/>
              <w:overflowPunct w:val="0"/>
              <w:autoSpaceDE w:val="0"/>
              <w:autoSpaceDN w:val="0"/>
              <w:spacing w:after="0"/>
              <w:rPr>
                <w:color w:val="auto"/>
                <w:sz w:val="22"/>
                <w:szCs w:val="22"/>
              </w:rPr>
            </w:pPr>
            <w:r>
              <w:rPr>
                <w:b/>
                <w:color w:val="auto"/>
                <w:sz w:val="22"/>
                <w:szCs w:val="22"/>
              </w:rPr>
              <w:t>Q15</w:t>
            </w:r>
            <w:r w:rsidRPr="00343EA2">
              <w:rPr>
                <w:b/>
                <w:color w:val="auto"/>
                <w:sz w:val="22"/>
                <w:szCs w:val="22"/>
              </w:rPr>
              <w:t>:</w:t>
            </w:r>
            <w:r w:rsidRPr="00343EA2">
              <w:rPr>
                <w:b/>
                <w:sz w:val="22"/>
                <w:szCs w:val="22"/>
              </w:rPr>
              <w:t xml:space="preserve"> </w:t>
            </w:r>
            <w:r w:rsidR="009A1C0D" w:rsidRPr="009A1C0D">
              <w:rPr>
                <w:b/>
                <w:sz w:val="22"/>
                <w:szCs w:val="22"/>
              </w:rPr>
              <w:t>Do you think the DIFC should adopt the Model Law in this way?</w:t>
            </w:r>
          </w:p>
        </w:tc>
      </w:tr>
      <w:tr w:rsidR="00343EA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r>
      <w:tr w:rsidR="00343EA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r>
      <w:tr w:rsidR="007C2B75" w:rsidRPr="00D41215" w:rsidTr="00B57712">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7C2B75" w:rsidRPr="004E568E" w:rsidRDefault="007C2B75" w:rsidP="000C5C06">
            <w:pPr>
              <w:pStyle w:val="TableHeader"/>
              <w:rPr>
                <w:bCs/>
                <w:color w:val="auto"/>
                <w:szCs w:val="2"/>
              </w:rPr>
            </w:pPr>
            <w:r w:rsidRPr="007C2B75">
              <w:rPr>
                <w:bCs/>
                <w:color w:val="auto"/>
                <w:szCs w:val="22"/>
              </w:rPr>
              <w:t>Q1</w:t>
            </w:r>
            <w:r>
              <w:rPr>
                <w:bCs/>
                <w:color w:val="auto"/>
                <w:szCs w:val="22"/>
              </w:rPr>
              <w:t>6</w:t>
            </w:r>
            <w:r w:rsidRPr="007C2B75">
              <w:rPr>
                <w:bCs/>
                <w:color w:val="auto"/>
                <w:szCs w:val="22"/>
              </w:rPr>
              <w:t>:</w:t>
            </w:r>
            <w:r w:rsidRPr="00343EA2">
              <w:rPr>
                <w:b w:val="0"/>
                <w:szCs w:val="22"/>
              </w:rPr>
              <w:t xml:space="preserve"> </w:t>
            </w:r>
            <w:r w:rsidRPr="007C2B75">
              <w:rPr>
                <w:bCs/>
                <w:color w:val="auto"/>
                <w:szCs w:val="2"/>
              </w:rPr>
              <w:t>Do you think that it will improve how Courts in the DIFC operate on cross border cases?</w:t>
            </w:r>
          </w:p>
        </w:tc>
      </w:tr>
      <w:tr w:rsidR="00343EA2"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43EA2" w:rsidRPr="004E568E" w:rsidRDefault="00343EA2" w:rsidP="000C5C06">
            <w:pPr>
              <w:pStyle w:val="TableHeader"/>
              <w:rPr>
                <w:bCs/>
                <w:color w:val="auto"/>
                <w:szCs w:val="2"/>
              </w:rPr>
            </w:pPr>
          </w:p>
        </w:tc>
      </w:tr>
      <w:tr w:rsidR="007C2B75"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7C2B75" w:rsidRPr="004E568E" w:rsidRDefault="007C2B7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7C2B75" w:rsidRPr="004E568E" w:rsidRDefault="007C2B7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7C2B75" w:rsidRPr="004E568E" w:rsidRDefault="007C2B75" w:rsidP="000C5C06">
            <w:pPr>
              <w:pStyle w:val="TableHeader"/>
              <w:rPr>
                <w:bCs/>
                <w:color w:val="auto"/>
                <w:szCs w:val="2"/>
              </w:rPr>
            </w:pPr>
          </w:p>
        </w:tc>
      </w:tr>
      <w:tr w:rsidR="00174D40" w:rsidRPr="00D41215" w:rsidTr="001A20EE">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174D40" w:rsidRPr="004E568E" w:rsidRDefault="00174D40" w:rsidP="001A20EE">
            <w:pPr>
              <w:pStyle w:val="TableHeader"/>
              <w:rPr>
                <w:bCs/>
                <w:color w:val="auto"/>
                <w:szCs w:val="2"/>
              </w:rPr>
            </w:pPr>
            <w:r>
              <w:rPr>
                <w:bCs/>
                <w:color w:val="auto"/>
                <w:szCs w:val="2"/>
              </w:rPr>
              <w:t>Financial collateral</w:t>
            </w:r>
          </w:p>
        </w:tc>
      </w:tr>
      <w:tr w:rsidR="00174D40" w:rsidRPr="00D41215" w:rsidTr="00174D40">
        <w:trPr>
          <w:trHeight w:hRule="exact" w:val="751"/>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174D40">
            <w:pPr>
              <w:pStyle w:val="TableHeader"/>
              <w:rPr>
                <w:bCs/>
                <w:color w:val="auto"/>
                <w:szCs w:val="2"/>
              </w:rPr>
            </w:pPr>
            <w:r w:rsidRPr="007C2B75">
              <w:rPr>
                <w:bCs/>
                <w:color w:val="auto"/>
                <w:szCs w:val="22"/>
              </w:rPr>
              <w:t>Q1</w:t>
            </w:r>
            <w:r>
              <w:rPr>
                <w:bCs/>
                <w:color w:val="auto"/>
                <w:szCs w:val="22"/>
              </w:rPr>
              <w:t>7</w:t>
            </w:r>
            <w:r w:rsidRPr="007C2B75">
              <w:rPr>
                <w:bCs/>
                <w:color w:val="auto"/>
                <w:szCs w:val="22"/>
              </w:rPr>
              <w:t>:</w:t>
            </w:r>
            <w:r>
              <w:t xml:space="preserve"> </w:t>
            </w:r>
            <w:r w:rsidRPr="00174D40">
              <w:rPr>
                <w:bCs/>
                <w:color w:val="auto"/>
                <w:szCs w:val="22"/>
              </w:rPr>
              <w:t>Do you agree that these clarifications make the position on financial collateral arrangements and the effect of the Insolvency Law on those kinds of arrangement more understandable?</w:t>
            </w:r>
            <w:r w:rsidRPr="00343EA2">
              <w:rPr>
                <w:b w:val="0"/>
                <w:szCs w:val="22"/>
              </w:rPr>
              <w:t xml:space="preserve"> </w:t>
            </w:r>
          </w:p>
        </w:tc>
      </w:tr>
      <w:tr w:rsidR="00174D40"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r>
      <w:tr w:rsidR="00174D40"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r>
      <w:tr w:rsidR="00174D40" w:rsidRPr="00D41215" w:rsidTr="001A20EE">
        <w:trPr>
          <w:trHeight w:hRule="exact" w:val="751"/>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174D40">
            <w:pPr>
              <w:pStyle w:val="TableHeader"/>
              <w:rPr>
                <w:bCs/>
                <w:color w:val="auto"/>
                <w:szCs w:val="2"/>
              </w:rPr>
            </w:pPr>
            <w:r w:rsidRPr="007C2B75">
              <w:rPr>
                <w:bCs/>
                <w:color w:val="auto"/>
                <w:szCs w:val="22"/>
              </w:rPr>
              <w:t>Q1</w:t>
            </w:r>
            <w:r>
              <w:rPr>
                <w:bCs/>
                <w:color w:val="auto"/>
                <w:szCs w:val="22"/>
              </w:rPr>
              <w:t>8</w:t>
            </w:r>
            <w:r w:rsidRPr="007C2B75">
              <w:rPr>
                <w:bCs/>
                <w:color w:val="auto"/>
                <w:szCs w:val="22"/>
              </w:rPr>
              <w:t>:</w:t>
            </w:r>
            <w:r>
              <w:t xml:space="preserve"> </w:t>
            </w:r>
            <w:r w:rsidRPr="00174D40">
              <w:rPr>
                <w:bCs/>
                <w:color w:val="auto"/>
                <w:szCs w:val="22"/>
              </w:rPr>
              <w:t>Do you think any further changes are required to clarify how the proposed law and regulations operate in relation to these arrangements?</w:t>
            </w:r>
            <w:r>
              <w:t xml:space="preserve"> </w:t>
            </w:r>
          </w:p>
        </w:tc>
      </w:tr>
      <w:tr w:rsidR="00174D40"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r>
      <w:tr w:rsidR="00174D40"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r>
      <w:tr w:rsidR="00174D40" w:rsidRPr="00D41215" w:rsidTr="001A20EE">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174D40" w:rsidRPr="004E568E" w:rsidRDefault="00174D40" w:rsidP="001A20EE">
            <w:pPr>
              <w:pStyle w:val="TableHeader"/>
              <w:rPr>
                <w:bCs/>
                <w:color w:val="auto"/>
                <w:szCs w:val="2"/>
              </w:rPr>
            </w:pPr>
            <w:r>
              <w:rPr>
                <w:bCs/>
                <w:color w:val="auto"/>
                <w:szCs w:val="2"/>
              </w:rPr>
              <w:t>Miscellaneous enhancements</w:t>
            </w:r>
          </w:p>
        </w:tc>
      </w:tr>
      <w:tr w:rsidR="00174D40" w:rsidRPr="00D41215" w:rsidTr="00174D40">
        <w:trPr>
          <w:trHeight w:hRule="exact" w:val="319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174D40" w:rsidRDefault="00174D40" w:rsidP="00174D40">
            <w:pPr>
              <w:pStyle w:val="TableHeader"/>
              <w:rPr>
                <w:bCs/>
                <w:color w:val="auto"/>
                <w:szCs w:val="2"/>
              </w:rPr>
            </w:pPr>
            <w:r>
              <w:rPr>
                <w:bCs/>
                <w:color w:val="auto"/>
                <w:szCs w:val="2"/>
              </w:rPr>
              <w:t>Q19</w:t>
            </w:r>
            <w:r w:rsidRPr="00174D40">
              <w:rPr>
                <w:bCs/>
                <w:color w:val="auto"/>
                <w:szCs w:val="2"/>
              </w:rPr>
              <w:t xml:space="preserve">: </w:t>
            </w:r>
            <w:r>
              <w:rPr>
                <w:bCs/>
                <w:color w:val="auto"/>
                <w:szCs w:val="2"/>
              </w:rPr>
              <w:t>Do you agree with the proposed amendments, regarding the introduction of a bonding system for insolvency practitioners? In particular do you think that it will:</w:t>
            </w:r>
          </w:p>
          <w:p w:rsidR="00174D40" w:rsidRDefault="00174D40" w:rsidP="00174D40">
            <w:pPr>
              <w:pStyle w:val="TableHeader"/>
              <w:rPr>
                <w:bCs/>
                <w:color w:val="auto"/>
                <w:szCs w:val="2"/>
              </w:rPr>
            </w:pPr>
          </w:p>
          <w:p w:rsidR="00174D40" w:rsidRDefault="00174D40" w:rsidP="00174D40">
            <w:pPr>
              <w:pStyle w:val="TableHeader"/>
              <w:numPr>
                <w:ilvl w:val="0"/>
                <w:numId w:val="14"/>
              </w:numPr>
              <w:ind w:left="-18" w:firstLine="18"/>
              <w:rPr>
                <w:bCs/>
                <w:color w:val="auto"/>
                <w:szCs w:val="2"/>
              </w:rPr>
            </w:pPr>
            <w:r w:rsidRPr="00174D40">
              <w:rPr>
                <w:bCs/>
                <w:color w:val="auto"/>
                <w:szCs w:val="2"/>
              </w:rPr>
              <w:t>provide stakeholders with greater confidence in the</w:t>
            </w:r>
            <w:r>
              <w:rPr>
                <w:bCs/>
                <w:color w:val="auto"/>
                <w:szCs w:val="2"/>
              </w:rPr>
              <w:t xml:space="preserve"> work undertaken by insolvency </w:t>
            </w:r>
            <w:r w:rsidRPr="00174D40">
              <w:rPr>
                <w:bCs/>
                <w:color w:val="auto"/>
                <w:szCs w:val="2"/>
              </w:rPr>
              <w:t>practitioners;</w:t>
            </w:r>
          </w:p>
          <w:p w:rsidR="00174D40" w:rsidRDefault="00174D40" w:rsidP="00174D40">
            <w:pPr>
              <w:pStyle w:val="TableHeader"/>
              <w:ind w:left="720"/>
              <w:rPr>
                <w:bCs/>
                <w:color w:val="auto"/>
                <w:szCs w:val="2"/>
              </w:rPr>
            </w:pPr>
          </w:p>
          <w:p w:rsidR="00174D40" w:rsidRDefault="00174D40" w:rsidP="00174D40">
            <w:pPr>
              <w:pStyle w:val="TableHeader"/>
              <w:numPr>
                <w:ilvl w:val="0"/>
                <w:numId w:val="14"/>
              </w:numPr>
              <w:ind w:left="-18" w:firstLine="18"/>
              <w:rPr>
                <w:bCs/>
                <w:color w:val="auto"/>
                <w:szCs w:val="2"/>
              </w:rPr>
            </w:pPr>
            <w:r w:rsidRPr="00174D40">
              <w:rPr>
                <w:bCs/>
                <w:color w:val="auto"/>
                <w:szCs w:val="2"/>
              </w:rPr>
              <w:t>provide an effective mechanism to promote responsible behaviour;</w:t>
            </w:r>
          </w:p>
          <w:p w:rsidR="00174D40" w:rsidRDefault="00174D40" w:rsidP="00174D40">
            <w:pPr>
              <w:pStyle w:val="ListParagraph"/>
              <w:rPr>
                <w:bCs/>
                <w:color w:val="auto"/>
                <w:szCs w:val="2"/>
              </w:rPr>
            </w:pPr>
          </w:p>
          <w:p w:rsidR="00174D40" w:rsidRDefault="00174D40" w:rsidP="00174D40">
            <w:pPr>
              <w:pStyle w:val="TableHeader"/>
              <w:numPr>
                <w:ilvl w:val="0"/>
                <w:numId w:val="14"/>
              </w:numPr>
              <w:ind w:left="702" w:hanging="702"/>
              <w:rPr>
                <w:bCs/>
                <w:color w:val="auto"/>
                <w:szCs w:val="2"/>
              </w:rPr>
            </w:pPr>
            <w:r w:rsidRPr="00174D40">
              <w:rPr>
                <w:bCs/>
                <w:color w:val="auto"/>
                <w:szCs w:val="2"/>
              </w:rPr>
              <w:t>facilitate the compensation of and ability to investigate cases where insolvency practitioners have acted either dishonestly or fraudulently. In this regard, does it achieve the right balance between cost effective and workable requirements (in terms of putting the bonding arrangements in place and reporting and monitoring requirements; and</w:t>
            </w:r>
          </w:p>
          <w:p w:rsidR="00174D40" w:rsidRDefault="00174D40" w:rsidP="00174D40">
            <w:pPr>
              <w:pStyle w:val="ListParagraph"/>
              <w:rPr>
                <w:bCs/>
                <w:color w:val="auto"/>
                <w:szCs w:val="2"/>
              </w:rPr>
            </w:pPr>
          </w:p>
          <w:p w:rsidR="00174D40" w:rsidRPr="004E568E" w:rsidRDefault="00174D40" w:rsidP="00174D40">
            <w:pPr>
              <w:pStyle w:val="TableHeader"/>
              <w:numPr>
                <w:ilvl w:val="0"/>
                <w:numId w:val="14"/>
              </w:numPr>
              <w:ind w:left="-18" w:firstLine="18"/>
              <w:rPr>
                <w:bCs/>
                <w:color w:val="auto"/>
                <w:szCs w:val="2"/>
              </w:rPr>
            </w:pPr>
            <w:r w:rsidRPr="00174D40">
              <w:rPr>
                <w:bCs/>
                <w:color w:val="auto"/>
                <w:szCs w:val="2"/>
              </w:rPr>
              <w:t>serve as a useful addition to existing professional indemnity requirements.</w:t>
            </w:r>
          </w:p>
        </w:tc>
      </w:tr>
      <w:tr w:rsidR="00174D40"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r>
      <w:tr w:rsidR="00174D40"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r>
      <w:tr w:rsidR="00174D40" w:rsidRPr="00D41215" w:rsidTr="00174D40">
        <w:trPr>
          <w:trHeight w:hRule="exact" w:val="76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174D40">
            <w:pPr>
              <w:pStyle w:val="TableHeader"/>
              <w:rPr>
                <w:bCs/>
                <w:color w:val="auto"/>
                <w:szCs w:val="2"/>
              </w:rPr>
            </w:pPr>
            <w:r>
              <w:rPr>
                <w:bCs/>
                <w:color w:val="auto"/>
                <w:szCs w:val="2"/>
              </w:rPr>
              <w:t>Q20</w:t>
            </w:r>
            <w:r w:rsidRPr="00174D40">
              <w:rPr>
                <w:bCs/>
                <w:color w:val="auto"/>
                <w:szCs w:val="2"/>
              </w:rPr>
              <w:t>: Do you think these practical changes will improve the operation of the Proposed Law and Regulations?</w:t>
            </w:r>
          </w:p>
        </w:tc>
      </w:tr>
      <w:tr w:rsidR="00174D40"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r>
      <w:tr w:rsidR="00174D40"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74D40" w:rsidRPr="004E568E" w:rsidRDefault="00174D40" w:rsidP="000C5C06">
            <w:pPr>
              <w:pStyle w:val="TableHeader"/>
              <w:rPr>
                <w:bCs/>
                <w:color w:val="auto"/>
                <w:szCs w:val="2"/>
              </w:rPr>
            </w:pPr>
          </w:p>
        </w:tc>
      </w:tr>
      <w:tr w:rsidR="00B5546C" w:rsidRPr="00D41215" w:rsidTr="00E050A1">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B5546C" w:rsidRPr="00B5546C" w:rsidRDefault="00B5546C" w:rsidP="00893EA8">
            <w:pPr>
              <w:keepNext/>
              <w:keepLines/>
              <w:rPr>
                <w:b/>
                <w:bCs/>
                <w:sz w:val="22"/>
                <w:szCs w:val="22"/>
              </w:rPr>
            </w:pPr>
            <w:r w:rsidRPr="00B5546C">
              <w:rPr>
                <w:b/>
                <w:bCs/>
                <w:sz w:val="22"/>
                <w:szCs w:val="22"/>
              </w:rPr>
              <w:t>Q21: Do you have any other suggestions regarding how the law might be modernised and made more efficient and cost effective?</w:t>
            </w:r>
          </w:p>
        </w:tc>
      </w:tr>
      <w:tr w:rsidR="00B5546C" w:rsidRPr="00D41215" w:rsidTr="00B5546C">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B5546C" w:rsidRPr="00B5546C" w:rsidRDefault="00B5546C" w:rsidP="00893EA8">
            <w:pPr>
              <w:keepNext/>
              <w:keepLines/>
              <w:rPr>
                <w:b/>
                <w:bCs/>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B5546C" w:rsidRPr="00B5546C" w:rsidRDefault="00B5546C" w:rsidP="00893EA8">
            <w:pPr>
              <w:keepNext/>
              <w:keepLines/>
              <w:rPr>
                <w:b/>
                <w:bCs/>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B5546C" w:rsidRPr="00B5546C" w:rsidRDefault="00B5546C" w:rsidP="00B5546C">
            <w:pPr>
              <w:rPr>
                <w:b/>
                <w:bCs/>
                <w:sz w:val="22"/>
                <w:szCs w:val="22"/>
              </w:rPr>
            </w:pPr>
          </w:p>
        </w:tc>
      </w:tr>
      <w:tr w:rsidR="00B5546C" w:rsidRPr="00D41215" w:rsidTr="00893EA8">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B5546C" w:rsidRPr="00B5546C" w:rsidRDefault="00B5546C" w:rsidP="00893EA8">
            <w:pPr>
              <w:keepNext/>
              <w:keepLines/>
              <w:rPr>
                <w:b/>
                <w:bCs/>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B5546C" w:rsidRPr="00B5546C" w:rsidRDefault="00B5546C" w:rsidP="00B5546C">
            <w:pPr>
              <w:rPr>
                <w:b/>
                <w:bCs/>
                <w:sz w:val="22"/>
                <w:szCs w:val="2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B5546C" w:rsidRPr="00B5546C" w:rsidRDefault="00B5546C" w:rsidP="00B5546C">
            <w:pPr>
              <w:rPr>
                <w:b/>
                <w:bCs/>
                <w:sz w:val="22"/>
                <w:szCs w:val="22"/>
              </w:rPr>
            </w:pPr>
          </w:p>
        </w:tc>
      </w:tr>
    </w:tbl>
    <w:p w:rsidR="00B61B87" w:rsidRDefault="00B61B87" w:rsidP="00B5546C"/>
    <w:sectPr w:rsidR="00B61B87" w:rsidSect="003B5D57">
      <w:headerReference w:type="even" r:id="rId10"/>
      <w:footerReference w:type="even" r:id="rId11"/>
      <w:footerReference w:type="default" r:id="rId12"/>
      <w:footerReference w:type="first" r:id="rId13"/>
      <w:pgSz w:w="16820" w:h="11900" w:orient="landscape"/>
      <w:pgMar w:top="794" w:right="890" w:bottom="1004" w:left="900" w:header="136" w:footer="7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AE" w:rsidRDefault="007314AE" w:rsidP="001072C8">
      <w:r>
        <w:separator/>
      </w:r>
    </w:p>
    <w:p w:rsidR="007314AE" w:rsidRDefault="007314AE" w:rsidP="001072C8"/>
    <w:p w:rsidR="007314AE" w:rsidRDefault="007314AE" w:rsidP="001072C8"/>
  </w:endnote>
  <w:endnote w:type="continuationSeparator" w:id="0">
    <w:p w:rsidR="007314AE" w:rsidRDefault="007314AE" w:rsidP="001072C8">
      <w:r>
        <w:continuationSeparator/>
      </w:r>
    </w:p>
    <w:p w:rsidR="007314AE" w:rsidRDefault="007314AE" w:rsidP="001072C8"/>
    <w:p w:rsidR="007314AE" w:rsidRDefault="007314AE"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73" w:rsidRDefault="00F57773" w:rsidP="002F4ADA">
    <w:pPr>
      <w:pStyle w:val="Footer"/>
      <w:framePr w:wrap="around" w:vAnchor="text" w:hAnchor="page" w:x="1021" w:y="565"/>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F4ADA">
      <w:rPr>
        <w:rStyle w:val="PageNumber"/>
        <w:noProof/>
      </w:rPr>
      <w:t>2</w:t>
    </w:r>
    <w:r>
      <w:rPr>
        <w:rStyle w:val="PageNumber"/>
      </w:rPr>
      <w:fldChar w:fldCharType="end"/>
    </w:r>
  </w:p>
  <w:p w:rsidR="009A1109" w:rsidRDefault="009A1109" w:rsidP="002F4ADA">
    <w:pPr>
      <w:pStyle w:val="Footer"/>
      <w:framePr w:wrap="around" w:vAnchor="text" w:hAnchor="page" w:x="1021" w:y="565"/>
      <w:jc w:val="right"/>
      <w:rPr>
        <w:rStyle w:val="PageNumber"/>
      </w:rPr>
    </w:pPr>
  </w:p>
  <w:p w:rsidR="00907366" w:rsidRPr="00F57773" w:rsidRDefault="00F57773"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(iii)you give us permission to do so, please see the Data Protection law 2007 for a full account of your rights relating to data protection.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DA" w:rsidRPr="00F57773" w:rsidRDefault="002F4ADA"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w:t>
    </w:r>
    <w:r>
      <w:rPr>
        <w:color w:val="17174F" w:themeColor="text1" w:themeTint="E6"/>
        <w:sz w:val="14"/>
        <w:szCs w:val="14"/>
      </w:rPr>
      <w:t xml:space="preserve"> </w:t>
    </w:r>
    <w:r w:rsidRPr="00E137E6">
      <w:rPr>
        <w:color w:val="17174F" w:themeColor="text1" w:themeTint="E6"/>
        <w:sz w:val="14"/>
        <w:szCs w:val="14"/>
      </w:rPr>
      <w:t>you give us permission to do so, please see the Data Protection law 2007 for a full account of your rights relating to data protection.</w:t>
    </w:r>
  </w:p>
  <w:p w:rsidR="002F4ADA" w:rsidRDefault="002F4ADA" w:rsidP="002F4ADA">
    <w:pPr>
      <w:pStyle w:val="Footer"/>
      <w:framePr w:h="229" w:hRule="exact" w:wrap="around" w:vAnchor="text" w:hAnchor="page" w:x="925" w:y="7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70D98">
      <w:rPr>
        <w:rStyle w:val="PageNumber"/>
        <w:noProof/>
      </w:rPr>
      <w:t>5</w:t>
    </w:r>
    <w:r>
      <w:rPr>
        <w:rStyle w:val="PageNumber"/>
      </w:rPr>
      <w:fldChar w:fldCharType="end"/>
    </w:r>
  </w:p>
  <w:p w:rsidR="002F4ADA" w:rsidRDefault="002F4ADA" w:rsidP="002F4ADA">
    <w:pPr>
      <w:pStyle w:val="Footer"/>
      <w:framePr w:h="229" w:hRule="exact" w:wrap="around" w:vAnchor="text" w:hAnchor="page" w:x="925" w:y="79"/>
      <w:jc w:val="right"/>
      <w:rPr>
        <w:rStyle w:val="PageNumber"/>
      </w:rPr>
    </w:pPr>
  </w:p>
  <w:p w:rsidR="00907366" w:rsidRDefault="00907366" w:rsidP="002F4ADA">
    <w:pP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ADA" w:rsidRDefault="002F4ADA" w:rsidP="002F4ADA">
    <w:pPr>
      <w:pStyle w:val="Footer"/>
      <w:framePr w:wrap="around" w:vAnchor="text" w:hAnchor="page" w:x="15757" w:y="535"/>
      <w:rPr>
        <w:rStyle w:val="PageNumber"/>
      </w:rPr>
    </w:pPr>
    <w:r>
      <w:rPr>
        <w:rStyle w:val="PageNumber"/>
      </w:rPr>
      <w:fldChar w:fldCharType="begin"/>
    </w:r>
    <w:r>
      <w:rPr>
        <w:rStyle w:val="PageNumber"/>
      </w:rPr>
      <w:instrText xml:space="preserve">PAGE  </w:instrText>
    </w:r>
    <w:r>
      <w:rPr>
        <w:rStyle w:val="PageNumber"/>
      </w:rPr>
      <w:fldChar w:fldCharType="separate"/>
    </w:r>
    <w:r w:rsidR="00070D98">
      <w:rPr>
        <w:rStyle w:val="PageNumber"/>
        <w:noProof/>
      </w:rPr>
      <w:t>1</w:t>
    </w:r>
    <w:r>
      <w:rPr>
        <w:rStyle w:val="PageNumber"/>
      </w:rPr>
      <w:fldChar w:fldCharType="end"/>
    </w:r>
  </w:p>
  <w:p w:rsidR="002F4ADA" w:rsidRPr="00F57773" w:rsidRDefault="002F4ADA"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w:t>
    </w:r>
    <w:r>
      <w:rPr>
        <w:color w:val="17174F" w:themeColor="text1" w:themeTint="E6"/>
        <w:sz w:val="14"/>
        <w:szCs w:val="14"/>
      </w:rPr>
      <w:t xml:space="preserve"> </w:t>
    </w:r>
    <w:r w:rsidRPr="00E137E6">
      <w:rPr>
        <w:color w:val="17174F" w:themeColor="text1" w:themeTint="E6"/>
        <w:sz w:val="14"/>
        <w:szCs w:val="14"/>
      </w:rPr>
      <w:t>you give us permission to do so, please see the Data Protection law 2007 for a full account of your rights relating to data protection.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AE" w:rsidRDefault="007314AE" w:rsidP="001072C8">
      <w:r>
        <w:separator/>
      </w:r>
    </w:p>
    <w:p w:rsidR="007314AE" w:rsidRDefault="007314AE" w:rsidP="001072C8"/>
    <w:p w:rsidR="007314AE" w:rsidRDefault="007314AE" w:rsidP="001072C8"/>
  </w:footnote>
  <w:footnote w:type="continuationSeparator" w:id="0">
    <w:p w:rsidR="007314AE" w:rsidRDefault="007314AE" w:rsidP="001072C8">
      <w:r>
        <w:continuationSeparator/>
      </w:r>
    </w:p>
    <w:p w:rsidR="007314AE" w:rsidRDefault="007314AE" w:rsidP="001072C8"/>
    <w:p w:rsidR="007314AE" w:rsidRDefault="007314AE"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57" w:rsidRPr="00D41215" w:rsidRDefault="003B5D57" w:rsidP="003B5D57">
    <w:pPr>
      <w:pStyle w:val="TableHeader"/>
      <w:rPr>
        <w:szCs w:val="2"/>
      </w:rPr>
    </w:pPr>
    <w:r>
      <w:rPr>
        <w:szCs w:val="2"/>
      </w:rPr>
      <w:t xml:space="preserve">No. </w:t>
    </w:r>
  </w:p>
  <w:p w:rsidR="003B5D57" w:rsidRDefault="003B5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03F76"/>
    <w:multiLevelType w:val="hybridMultilevel"/>
    <w:tmpl w:val="8F30A030"/>
    <w:lvl w:ilvl="0" w:tplc="8BA25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57"/>
  <w:drawingGridVerticalSpacing w:val="57"/>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4C"/>
    <w:rsid w:val="0001119D"/>
    <w:rsid w:val="0001311F"/>
    <w:rsid w:val="00021D2A"/>
    <w:rsid w:val="00022AE4"/>
    <w:rsid w:val="00026619"/>
    <w:rsid w:val="00026B37"/>
    <w:rsid w:val="00027A52"/>
    <w:rsid w:val="000552A3"/>
    <w:rsid w:val="000612A7"/>
    <w:rsid w:val="00070D98"/>
    <w:rsid w:val="000834ED"/>
    <w:rsid w:val="000906BF"/>
    <w:rsid w:val="000921D5"/>
    <w:rsid w:val="000949BC"/>
    <w:rsid w:val="000A00A2"/>
    <w:rsid w:val="000A13B6"/>
    <w:rsid w:val="000A1807"/>
    <w:rsid w:val="000A2126"/>
    <w:rsid w:val="000B2586"/>
    <w:rsid w:val="000B5042"/>
    <w:rsid w:val="000C5BF2"/>
    <w:rsid w:val="000C5C06"/>
    <w:rsid w:val="000D21FC"/>
    <w:rsid w:val="000E0188"/>
    <w:rsid w:val="000E213A"/>
    <w:rsid w:val="000F26F2"/>
    <w:rsid w:val="001072C8"/>
    <w:rsid w:val="0011121D"/>
    <w:rsid w:val="001149EA"/>
    <w:rsid w:val="00116580"/>
    <w:rsid w:val="00127070"/>
    <w:rsid w:val="00135CDB"/>
    <w:rsid w:val="00135E47"/>
    <w:rsid w:val="00135EC5"/>
    <w:rsid w:val="0013709A"/>
    <w:rsid w:val="00144349"/>
    <w:rsid w:val="001643A8"/>
    <w:rsid w:val="00164C9E"/>
    <w:rsid w:val="00172B8F"/>
    <w:rsid w:val="00174D40"/>
    <w:rsid w:val="001806D0"/>
    <w:rsid w:val="00183E4D"/>
    <w:rsid w:val="00194534"/>
    <w:rsid w:val="001A38F0"/>
    <w:rsid w:val="001C00F6"/>
    <w:rsid w:val="001D5395"/>
    <w:rsid w:val="001E4A42"/>
    <w:rsid w:val="001E6714"/>
    <w:rsid w:val="00205A9D"/>
    <w:rsid w:val="0022150D"/>
    <w:rsid w:val="002238A2"/>
    <w:rsid w:val="00252D5C"/>
    <w:rsid w:val="00261AB6"/>
    <w:rsid w:val="002701F9"/>
    <w:rsid w:val="002724B5"/>
    <w:rsid w:val="00295171"/>
    <w:rsid w:val="002A3642"/>
    <w:rsid w:val="002B10DB"/>
    <w:rsid w:val="002B14C2"/>
    <w:rsid w:val="002C1AC4"/>
    <w:rsid w:val="002D56EE"/>
    <w:rsid w:val="002F0903"/>
    <w:rsid w:val="002F4ADA"/>
    <w:rsid w:val="00304CB2"/>
    <w:rsid w:val="003078EE"/>
    <w:rsid w:val="00307AC3"/>
    <w:rsid w:val="003153DB"/>
    <w:rsid w:val="00321DBD"/>
    <w:rsid w:val="00322F6F"/>
    <w:rsid w:val="003259F3"/>
    <w:rsid w:val="00343EA2"/>
    <w:rsid w:val="00354510"/>
    <w:rsid w:val="003551F3"/>
    <w:rsid w:val="0037004A"/>
    <w:rsid w:val="00381196"/>
    <w:rsid w:val="003B2274"/>
    <w:rsid w:val="003B2B6A"/>
    <w:rsid w:val="003B5D57"/>
    <w:rsid w:val="003B72BF"/>
    <w:rsid w:val="003D5B9C"/>
    <w:rsid w:val="003F678E"/>
    <w:rsid w:val="00401E5B"/>
    <w:rsid w:val="00410CAE"/>
    <w:rsid w:val="004126A4"/>
    <w:rsid w:val="00412E5E"/>
    <w:rsid w:val="00413A11"/>
    <w:rsid w:val="00423668"/>
    <w:rsid w:val="004261E5"/>
    <w:rsid w:val="00427C2D"/>
    <w:rsid w:val="00430095"/>
    <w:rsid w:val="00431B39"/>
    <w:rsid w:val="004355A0"/>
    <w:rsid w:val="00442ADA"/>
    <w:rsid w:val="00450EC9"/>
    <w:rsid w:val="00451525"/>
    <w:rsid w:val="00453F0A"/>
    <w:rsid w:val="00470053"/>
    <w:rsid w:val="0047583D"/>
    <w:rsid w:val="004761AB"/>
    <w:rsid w:val="004845C3"/>
    <w:rsid w:val="00491F1F"/>
    <w:rsid w:val="00493CB7"/>
    <w:rsid w:val="004A438A"/>
    <w:rsid w:val="004A53E3"/>
    <w:rsid w:val="004B1D6C"/>
    <w:rsid w:val="004C4C90"/>
    <w:rsid w:val="004C587D"/>
    <w:rsid w:val="004D48C4"/>
    <w:rsid w:val="004E1091"/>
    <w:rsid w:val="004E568E"/>
    <w:rsid w:val="004F6CFE"/>
    <w:rsid w:val="00502ADA"/>
    <w:rsid w:val="005067D1"/>
    <w:rsid w:val="00506E90"/>
    <w:rsid w:val="005171F7"/>
    <w:rsid w:val="00520627"/>
    <w:rsid w:val="00524378"/>
    <w:rsid w:val="00524D6D"/>
    <w:rsid w:val="005545BD"/>
    <w:rsid w:val="0056004A"/>
    <w:rsid w:val="0056264D"/>
    <w:rsid w:val="00570C5B"/>
    <w:rsid w:val="0057778F"/>
    <w:rsid w:val="0059235C"/>
    <w:rsid w:val="00594989"/>
    <w:rsid w:val="005B02BC"/>
    <w:rsid w:val="005B2E7C"/>
    <w:rsid w:val="005B4E3B"/>
    <w:rsid w:val="005B6F81"/>
    <w:rsid w:val="005D2468"/>
    <w:rsid w:val="005E0A8B"/>
    <w:rsid w:val="005E5F39"/>
    <w:rsid w:val="00607C19"/>
    <w:rsid w:val="00614B32"/>
    <w:rsid w:val="00640813"/>
    <w:rsid w:val="006438E5"/>
    <w:rsid w:val="006442B4"/>
    <w:rsid w:val="00650BB4"/>
    <w:rsid w:val="00653166"/>
    <w:rsid w:val="00656AD2"/>
    <w:rsid w:val="00667279"/>
    <w:rsid w:val="00684E9E"/>
    <w:rsid w:val="006C3D5C"/>
    <w:rsid w:val="006C60ED"/>
    <w:rsid w:val="006C65D5"/>
    <w:rsid w:val="006D3D6E"/>
    <w:rsid w:val="006E1FB5"/>
    <w:rsid w:val="006F14D1"/>
    <w:rsid w:val="006F783B"/>
    <w:rsid w:val="00706E1E"/>
    <w:rsid w:val="00720EA9"/>
    <w:rsid w:val="00730F57"/>
    <w:rsid w:val="007314AE"/>
    <w:rsid w:val="00732F05"/>
    <w:rsid w:val="0073377E"/>
    <w:rsid w:val="00737D37"/>
    <w:rsid w:val="00746751"/>
    <w:rsid w:val="00746DA0"/>
    <w:rsid w:val="00754BD5"/>
    <w:rsid w:val="00766E6B"/>
    <w:rsid w:val="00775ED6"/>
    <w:rsid w:val="00781157"/>
    <w:rsid w:val="00792A61"/>
    <w:rsid w:val="00796050"/>
    <w:rsid w:val="007A34B0"/>
    <w:rsid w:val="007A3A17"/>
    <w:rsid w:val="007A58E9"/>
    <w:rsid w:val="007B3715"/>
    <w:rsid w:val="007C2B75"/>
    <w:rsid w:val="007D6C7E"/>
    <w:rsid w:val="007E4299"/>
    <w:rsid w:val="007F141D"/>
    <w:rsid w:val="00800BA6"/>
    <w:rsid w:val="0080135E"/>
    <w:rsid w:val="0080338D"/>
    <w:rsid w:val="00807716"/>
    <w:rsid w:val="00810A5C"/>
    <w:rsid w:val="00812C82"/>
    <w:rsid w:val="0083352C"/>
    <w:rsid w:val="008468D4"/>
    <w:rsid w:val="00856878"/>
    <w:rsid w:val="0086075C"/>
    <w:rsid w:val="0086118A"/>
    <w:rsid w:val="0088397C"/>
    <w:rsid w:val="00893EA8"/>
    <w:rsid w:val="00893F42"/>
    <w:rsid w:val="008A2C3E"/>
    <w:rsid w:val="008C7729"/>
    <w:rsid w:val="008C7E4A"/>
    <w:rsid w:val="008E57B0"/>
    <w:rsid w:val="008F539E"/>
    <w:rsid w:val="009005D7"/>
    <w:rsid w:val="00906557"/>
    <w:rsid w:val="00907366"/>
    <w:rsid w:val="00940999"/>
    <w:rsid w:val="0094702D"/>
    <w:rsid w:val="009503CD"/>
    <w:rsid w:val="00952B72"/>
    <w:rsid w:val="00960F82"/>
    <w:rsid w:val="00965A0F"/>
    <w:rsid w:val="009719C6"/>
    <w:rsid w:val="00972F42"/>
    <w:rsid w:val="00980886"/>
    <w:rsid w:val="0098357A"/>
    <w:rsid w:val="009903FA"/>
    <w:rsid w:val="009931D7"/>
    <w:rsid w:val="009A1109"/>
    <w:rsid w:val="009A1C0D"/>
    <w:rsid w:val="009B1E5E"/>
    <w:rsid w:val="009C20E1"/>
    <w:rsid w:val="009E0292"/>
    <w:rsid w:val="009E3B6B"/>
    <w:rsid w:val="009F1748"/>
    <w:rsid w:val="009F2F6E"/>
    <w:rsid w:val="00A04A98"/>
    <w:rsid w:val="00A2111E"/>
    <w:rsid w:val="00A532F6"/>
    <w:rsid w:val="00A57117"/>
    <w:rsid w:val="00A615D8"/>
    <w:rsid w:val="00A8154D"/>
    <w:rsid w:val="00A927B6"/>
    <w:rsid w:val="00A9313C"/>
    <w:rsid w:val="00AC4F4C"/>
    <w:rsid w:val="00AD036C"/>
    <w:rsid w:val="00AD165B"/>
    <w:rsid w:val="00AD61B1"/>
    <w:rsid w:val="00AE10DB"/>
    <w:rsid w:val="00AE2EEF"/>
    <w:rsid w:val="00AE4771"/>
    <w:rsid w:val="00AE5120"/>
    <w:rsid w:val="00AE63D9"/>
    <w:rsid w:val="00AF05EC"/>
    <w:rsid w:val="00AF41B5"/>
    <w:rsid w:val="00AF57EC"/>
    <w:rsid w:val="00B0291B"/>
    <w:rsid w:val="00B04A59"/>
    <w:rsid w:val="00B04D68"/>
    <w:rsid w:val="00B2059A"/>
    <w:rsid w:val="00B5546C"/>
    <w:rsid w:val="00B61109"/>
    <w:rsid w:val="00B61B87"/>
    <w:rsid w:val="00B761FB"/>
    <w:rsid w:val="00B8683D"/>
    <w:rsid w:val="00B90622"/>
    <w:rsid w:val="00BA0BD0"/>
    <w:rsid w:val="00BA35EA"/>
    <w:rsid w:val="00BA7423"/>
    <w:rsid w:val="00BC19CE"/>
    <w:rsid w:val="00BD290C"/>
    <w:rsid w:val="00BE4A0B"/>
    <w:rsid w:val="00C018DB"/>
    <w:rsid w:val="00C23E71"/>
    <w:rsid w:val="00C42737"/>
    <w:rsid w:val="00C544BF"/>
    <w:rsid w:val="00C65912"/>
    <w:rsid w:val="00C70806"/>
    <w:rsid w:val="00C8015F"/>
    <w:rsid w:val="00C80189"/>
    <w:rsid w:val="00C81BAB"/>
    <w:rsid w:val="00C85A43"/>
    <w:rsid w:val="00C94A91"/>
    <w:rsid w:val="00C95162"/>
    <w:rsid w:val="00CA006C"/>
    <w:rsid w:val="00CB2072"/>
    <w:rsid w:val="00CB6BB0"/>
    <w:rsid w:val="00CB7CB4"/>
    <w:rsid w:val="00CC55B3"/>
    <w:rsid w:val="00CC734C"/>
    <w:rsid w:val="00CE071A"/>
    <w:rsid w:val="00CE365E"/>
    <w:rsid w:val="00CE60A5"/>
    <w:rsid w:val="00CF7970"/>
    <w:rsid w:val="00D056F8"/>
    <w:rsid w:val="00D06D73"/>
    <w:rsid w:val="00D140F1"/>
    <w:rsid w:val="00D41215"/>
    <w:rsid w:val="00D42F0E"/>
    <w:rsid w:val="00D5043D"/>
    <w:rsid w:val="00D515BC"/>
    <w:rsid w:val="00D55269"/>
    <w:rsid w:val="00D63449"/>
    <w:rsid w:val="00D67A53"/>
    <w:rsid w:val="00D72CFC"/>
    <w:rsid w:val="00D7438D"/>
    <w:rsid w:val="00D85F40"/>
    <w:rsid w:val="00D91B24"/>
    <w:rsid w:val="00D92753"/>
    <w:rsid w:val="00D930E3"/>
    <w:rsid w:val="00DA02C1"/>
    <w:rsid w:val="00DA3A96"/>
    <w:rsid w:val="00DB252D"/>
    <w:rsid w:val="00DB2ED6"/>
    <w:rsid w:val="00DB702D"/>
    <w:rsid w:val="00DC2D79"/>
    <w:rsid w:val="00DC6619"/>
    <w:rsid w:val="00DE03F1"/>
    <w:rsid w:val="00DE39DC"/>
    <w:rsid w:val="00DE3E02"/>
    <w:rsid w:val="00E055E8"/>
    <w:rsid w:val="00E123C4"/>
    <w:rsid w:val="00E137E6"/>
    <w:rsid w:val="00E25293"/>
    <w:rsid w:val="00E32D5F"/>
    <w:rsid w:val="00E57572"/>
    <w:rsid w:val="00E73A86"/>
    <w:rsid w:val="00E7433D"/>
    <w:rsid w:val="00E85E6B"/>
    <w:rsid w:val="00E90F2D"/>
    <w:rsid w:val="00E910DE"/>
    <w:rsid w:val="00EA3710"/>
    <w:rsid w:val="00EC0DEE"/>
    <w:rsid w:val="00EC434A"/>
    <w:rsid w:val="00EC4D9C"/>
    <w:rsid w:val="00EC5F78"/>
    <w:rsid w:val="00ED24A9"/>
    <w:rsid w:val="00ED688C"/>
    <w:rsid w:val="00EE5F18"/>
    <w:rsid w:val="00EE72C3"/>
    <w:rsid w:val="00EF177A"/>
    <w:rsid w:val="00EF61D5"/>
    <w:rsid w:val="00EF785A"/>
    <w:rsid w:val="00F109A2"/>
    <w:rsid w:val="00F12AD2"/>
    <w:rsid w:val="00F3562C"/>
    <w:rsid w:val="00F36B40"/>
    <w:rsid w:val="00F414ED"/>
    <w:rsid w:val="00F57773"/>
    <w:rsid w:val="00F613A2"/>
    <w:rsid w:val="00F633E0"/>
    <w:rsid w:val="00F75AFE"/>
    <w:rsid w:val="00F847D8"/>
    <w:rsid w:val="00F87F2F"/>
    <w:rsid w:val="00F91BCE"/>
    <w:rsid w:val="00FA579B"/>
    <w:rsid w:val="00FB3D4C"/>
    <w:rsid w:val="00FC1E4D"/>
    <w:rsid w:val="00FD6B65"/>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5:docId w15:val="{684D5CB0-51A1-4ABF-ADB1-9B9AE0E4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4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unhideWhenUsed/>
    <w:rsid w:val="007B3715"/>
    <w:pPr>
      <w:spacing w:after="120"/>
    </w:pPr>
  </w:style>
  <w:style w:type="character" w:customStyle="1" w:styleId="BodyTextChar">
    <w:name w:val="Body Text Char"/>
    <w:basedOn w:val="DefaultParagraphFont"/>
    <w:link w:val="BodyText"/>
    <w:uiPriority w:val="99"/>
    <w:rsid w:val="007B3715"/>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815E-B58B-44E0-B6EC-7805F2E3625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F1E9DF6-AF21-425F-A28E-09E441D7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Al Khamiri</dc:creator>
  <cp:lastModifiedBy>Tanuja Paramasivam</cp:lastModifiedBy>
  <cp:revision>21</cp:revision>
  <cp:lastPrinted>2018-02-19T11:28:00Z</cp:lastPrinted>
  <dcterms:created xsi:type="dcterms:W3CDTF">2018-05-13T11:31:00Z</dcterms:created>
  <dcterms:modified xsi:type="dcterms:W3CDTF">2018-09-16T13:39:00Z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39f719f6-acfe-4790-9ec2-4706f2beb7cf</vt:lpwstr>
  </property>
  <property fmtid="{D5CDD505-2E9C-101B-9397-08002B2CF9AE}" pid="3" name="docIndexRef">
    <vt:lpwstr>0da92d54-e836-4a55-b7ae-c68f5f5821dc</vt:lpwstr>
  </property>
  <property fmtid="{D5CDD505-2E9C-101B-9397-08002B2CF9AE}" pid="4" name="bjSaver">
    <vt:lpwstr>vwo4XY6MZihPOZCcW4p/caJoCkaL8fiz</vt:lpwstr>
  </property>
  <property fmtid="{D5CDD505-2E9C-101B-9397-08002B2CF9AE}" pid="5" name="DocumentMarkings">
    <vt:lpwstr>CONFIDENTIAL</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
    <vt:lpwstr>CONFIDENTIAL</vt:lpwstr>
  </property>
</Properties>
</file>