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F31F64">
      <w:pPr>
        <w:pStyle w:val="Title"/>
      </w:pPr>
      <w:r>
        <w:t>Compliance Calendar –</w:t>
      </w:r>
      <w:r w:rsidR="00F03457">
        <w:t xml:space="preserve"> Public</w:t>
      </w:r>
      <w:r>
        <w:t xml:space="preserve"> Company</w:t>
      </w:r>
    </w:p>
    <w:p w:rsidR="00E12AA7" w:rsidRDefault="00E12AA7"/>
    <w:tbl>
      <w:tblPr>
        <w:tblStyle w:val="LightList-Accent1"/>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369"/>
        <w:gridCol w:w="3969"/>
        <w:gridCol w:w="1984"/>
      </w:tblGrid>
      <w:tr w:rsidR="00F31F64" w:rsidTr="002075D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E066D2">
            <w:r>
              <w:t xml:space="preserve">Corporate </w:t>
            </w:r>
            <w:r w:rsidRPr="00A15822">
              <w:t>Actions</w:t>
            </w:r>
          </w:p>
          <w:p w:rsidR="002075D9" w:rsidRPr="00A15822" w:rsidRDefault="002075D9" w:rsidP="00E066D2"/>
        </w:tc>
        <w:tc>
          <w:tcPr>
            <w:tcW w:w="3969" w:type="dxa"/>
          </w:tcPr>
          <w:p w:rsidR="00F31F64" w:rsidRPr="00A15822" w:rsidRDefault="00F31F64" w:rsidP="00E066D2">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E066D2">
            <w:pPr>
              <w:cnfStyle w:val="100000000000" w:firstRow="1" w:lastRow="0" w:firstColumn="0" w:lastColumn="0" w:oddVBand="0" w:evenVBand="0" w:oddHBand="0" w:evenHBand="0" w:firstRowFirstColumn="0" w:firstRowLastColumn="0" w:lastRowFirstColumn="0" w:lastRowLastColumn="0"/>
            </w:pPr>
            <w:r>
              <w:t xml:space="preserve">Recurring Event </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w:t>
            </w:r>
            <w:r w:rsidR="00F31F64">
              <w:rPr>
                <w:rFonts w:ascii="Calibri" w:hAnsi="Calibri"/>
                <w:color w:val="000000"/>
                <w:sz w:val="18"/>
                <w:szCs w:val="18"/>
              </w:rPr>
              <w:t>es</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03457"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03457" w:rsidRDefault="00F03457" w:rsidP="00BD0CB9">
            <w:pPr>
              <w:rPr>
                <w:rFonts w:ascii="Calibri" w:hAnsi="Calibri"/>
                <w:color w:val="000000"/>
                <w:sz w:val="18"/>
                <w:szCs w:val="18"/>
              </w:rPr>
            </w:pPr>
            <w:r>
              <w:rPr>
                <w:rFonts w:ascii="Calibri" w:hAnsi="Calibri"/>
                <w:color w:val="000000"/>
                <w:sz w:val="18"/>
                <w:szCs w:val="18"/>
              </w:rPr>
              <w:t>Annual General Meeting</w:t>
            </w:r>
          </w:p>
        </w:tc>
        <w:tc>
          <w:tcPr>
            <w:tcW w:w="3969" w:type="dxa"/>
            <w:tcBorders>
              <w:top w:val="none" w:sz="0" w:space="0" w:color="auto"/>
              <w:bottom w:val="none" w:sz="0" w:space="0" w:color="auto"/>
            </w:tcBorders>
          </w:tcPr>
          <w:p w:rsidR="00F03457" w:rsidRDefault="00F03457" w:rsidP="00F0345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Filing is not required. Meeting must occur within 18 months of Incorporation</w:t>
            </w:r>
          </w:p>
        </w:tc>
        <w:tc>
          <w:tcPr>
            <w:tcW w:w="1984" w:type="dxa"/>
            <w:tcBorders>
              <w:top w:val="none" w:sz="0" w:space="0" w:color="auto"/>
              <w:bottom w:val="none" w:sz="0" w:space="0" w:color="auto"/>
              <w:right w:val="none" w:sz="0" w:space="0" w:color="auto"/>
            </w:tcBorders>
          </w:tcPr>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2075D9">
        <w:trPr>
          <w:trHeight w:val="277"/>
        </w:trPr>
        <w:tc>
          <w:tcPr>
            <w:cnfStyle w:val="001000000000" w:firstRow="0" w:lastRow="0" w:firstColumn="1" w:lastColumn="0" w:oddVBand="0" w:evenVBand="0" w:oddHBand="0" w:evenHBand="0" w:firstRowFirstColumn="0" w:firstRowLastColumn="0" w:lastRowFirstColumn="0" w:lastRowLastColumn="0"/>
            <w:tcW w:w="3369" w:type="dxa"/>
          </w:tcPr>
          <w:p w:rsidR="00290DC7" w:rsidRPr="00F03457" w:rsidRDefault="00F31F64" w:rsidP="00F03457">
            <w:pPr>
              <w:rPr>
                <w:rFonts w:ascii="Calibri" w:hAnsi="Calibri" w:cs="Calibri"/>
                <w:color w:val="000000"/>
                <w:sz w:val="18"/>
                <w:szCs w:val="18"/>
                <w:vertAlign w:val="superscript"/>
              </w:rPr>
            </w:pPr>
            <w:r w:rsidRPr="009E43E0">
              <w:rPr>
                <w:rFonts w:ascii="Calibri" w:hAnsi="Calibri"/>
                <w:color w:val="000000"/>
                <w:sz w:val="18"/>
                <w:szCs w:val="18"/>
              </w:rPr>
              <w:t>Appointment</w:t>
            </w:r>
            <w:r w:rsidR="00290DC7">
              <w:rPr>
                <w:rFonts w:ascii="Calibri" w:hAnsi="Calibri"/>
                <w:color w:val="000000"/>
                <w:sz w:val="18"/>
                <w:szCs w:val="18"/>
              </w:rPr>
              <w:t xml:space="preserve"> / C</w:t>
            </w:r>
            <w:r>
              <w:rPr>
                <w:rFonts w:ascii="Calibri" w:hAnsi="Calibri"/>
                <w:color w:val="000000"/>
                <w:sz w:val="18"/>
                <w:szCs w:val="18"/>
              </w:rPr>
              <w:t>essation</w:t>
            </w:r>
            <w:r w:rsidRPr="009E43E0">
              <w:rPr>
                <w:rFonts w:ascii="Calibri" w:hAnsi="Calibri"/>
                <w:color w:val="000000"/>
                <w:sz w:val="18"/>
                <w:szCs w:val="18"/>
              </w:rPr>
              <w:t xml:space="preserve"> of an Auditor </w:t>
            </w:r>
          </w:p>
        </w:tc>
        <w:tc>
          <w:tcPr>
            <w:tcW w:w="3969" w:type="dxa"/>
          </w:tcPr>
          <w:p w:rsidR="00F31F64"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 or cessation</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290DC7" w:rsidRPr="00F03457" w:rsidRDefault="00F31F64" w:rsidP="00F03457">
            <w:pPr>
              <w:rPr>
                <w:rFonts w:ascii="Calibri" w:hAnsi="Calibri"/>
                <w:color w:val="000000"/>
                <w:sz w:val="18"/>
                <w:szCs w:val="18"/>
                <w:vertAlign w:val="superscript"/>
              </w:rPr>
            </w:pPr>
            <w:r>
              <w:rPr>
                <w:rFonts w:ascii="Calibri" w:hAnsi="Calibri"/>
                <w:color w:val="000000"/>
                <w:sz w:val="18"/>
                <w:szCs w:val="18"/>
              </w:rPr>
              <w:t xml:space="preserve">Annual Audited Accounts </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7 months of the financial year end of the company</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03457" w:rsidTr="002075D9">
        <w:trPr>
          <w:trHeight w:val="277"/>
        </w:trPr>
        <w:tc>
          <w:tcPr>
            <w:cnfStyle w:val="001000000000" w:firstRow="0" w:lastRow="0" w:firstColumn="1" w:lastColumn="0" w:oddVBand="0" w:evenVBand="0" w:oddHBand="0" w:evenHBand="0" w:firstRowFirstColumn="0" w:firstRowLastColumn="0" w:lastRowFirstColumn="0" w:lastRowLastColumn="0"/>
            <w:tcW w:w="3369" w:type="dxa"/>
          </w:tcPr>
          <w:p w:rsidR="00F03457" w:rsidRDefault="00F03457" w:rsidP="00F03457">
            <w:pPr>
              <w:rPr>
                <w:rFonts w:ascii="Calibri" w:hAnsi="Calibri"/>
                <w:color w:val="000000"/>
                <w:sz w:val="18"/>
                <w:szCs w:val="18"/>
              </w:rPr>
            </w:pPr>
            <w:r>
              <w:rPr>
                <w:rFonts w:ascii="Calibri" w:hAnsi="Calibri"/>
                <w:color w:val="000000"/>
                <w:sz w:val="18"/>
                <w:szCs w:val="18"/>
              </w:rPr>
              <w:t xml:space="preserve">Annual Directors’ Report </w:t>
            </w:r>
          </w:p>
        </w:tc>
        <w:tc>
          <w:tcPr>
            <w:tcW w:w="3969" w:type="dxa"/>
          </w:tcPr>
          <w:p w:rsidR="00F03457" w:rsidRDefault="00F03457"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7 months of the financial year end of the company</w:t>
            </w:r>
          </w:p>
        </w:tc>
        <w:tc>
          <w:tcPr>
            <w:tcW w:w="1984" w:type="dxa"/>
          </w:tcPr>
          <w:p w:rsidR="00F03457"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084144" w:rsidRDefault="00084144" w:rsidP="00BD0CB9">
            <w:pPr>
              <w:rPr>
                <w:rFonts w:ascii="Calibri" w:hAnsi="Calibri"/>
                <w:color w:val="000000"/>
                <w:sz w:val="18"/>
                <w:szCs w:val="18"/>
              </w:rPr>
            </w:pPr>
            <w:r>
              <w:rPr>
                <w:rFonts w:ascii="Calibri" w:hAnsi="Calibri"/>
                <w:color w:val="000000"/>
                <w:sz w:val="18"/>
                <w:szCs w:val="18"/>
              </w:rPr>
              <w:t>Change</w:t>
            </w:r>
            <w:r w:rsidR="00F03457">
              <w:rPr>
                <w:rFonts w:ascii="Calibri" w:hAnsi="Calibri"/>
                <w:color w:val="000000"/>
                <w:sz w:val="18"/>
                <w:szCs w:val="18"/>
              </w:rPr>
              <w:t xml:space="preserve"> of Location</w:t>
            </w:r>
            <w:r>
              <w:rPr>
                <w:rFonts w:ascii="Calibri" w:hAnsi="Calibri"/>
                <w:color w:val="000000"/>
                <w:sz w:val="18"/>
                <w:szCs w:val="18"/>
              </w:rPr>
              <w:t xml:space="preserve"> to keep records and register</w:t>
            </w:r>
          </w:p>
        </w:tc>
        <w:tc>
          <w:tcPr>
            <w:tcW w:w="3969" w:type="dxa"/>
            <w:tcBorders>
              <w:top w:val="none" w:sz="0" w:space="0" w:color="auto"/>
              <w:bottom w:val="none" w:sz="0" w:space="0" w:color="auto"/>
            </w:tcBorders>
          </w:tcPr>
          <w:p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Director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Company Secretary</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Shareholder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084144" w:rsidRDefault="00084144" w:rsidP="00BD0CB9">
            <w:pPr>
              <w:rPr>
                <w:rFonts w:ascii="Calibri" w:hAnsi="Calibri"/>
                <w:color w:val="000000"/>
                <w:sz w:val="18"/>
                <w:szCs w:val="18"/>
              </w:rPr>
            </w:pPr>
            <w:r>
              <w:rPr>
                <w:rFonts w:ascii="Calibri" w:hAnsi="Calibri"/>
                <w:color w:val="000000"/>
                <w:sz w:val="18"/>
                <w:szCs w:val="18"/>
              </w:rPr>
              <w:t xml:space="preserve">Shareholder holding shares on trust </w:t>
            </w:r>
          </w:p>
        </w:tc>
        <w:tc>
          <w:tcPr>
            <w:tcW w:w="3969" w:type="dxa"/>
            <w:tcBorders>
              <w:top w:val="none" w:sz="0" w:space="0" w:color="auto"/>
              <w:bottom w:val="none" w:sz="0" w:space="0" w:color="auto"/>
            </w:tcBorders>
          </w:tcPr>
          <w:p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w:t>
            </w:r>
          </w:p>
          <w:p w:rsidR="00F03457"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084144" w:rsidP="00BD0CB9">
            <w:pPr>
              <w:rPr>
                <w:rFonts w:ascii="Calibri" w:hAnsi="Calibri"/>
                <w:color w:val="000000"/>
                <w:sz w:val="18"/>
                <w:szCs w:val="18"/>
              </w:rPr>
            </w:pPr>
            <w:r>
              <w:rPr>
                <w:rFonts w:ascii="Calibri" w:hAnsi="Calibri"/>
                <w:color w:val="000000"/>
                <w:sz w:val="18"/>
                <w:szCs w:val="18"/>
              </w:rPr>
              <w:t>Nominee Director</w:t>
            </w:r>
          </w:p>
        </w:tc>
        <w:tc>
          <w:tcPr>
            <w:tcW w:w="3969" w:type="dxa"/>
          </w:tcPr>
          <w:p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w:t>
            </w:r>
          </w:p>
          <w:p w:rsidR="00F03457"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sidRPr="009E43E0">
              <w:rPr>
                <w:rFonts w:ascii="Calibri" w:hAnsi="Calibri"/>
                <w:color w:val="000000"/>
                <w:sz w:val="18"/>
                <w:szCs w:val="18"/>
              </w:rPr>
              <w:t xml:space="preserve">Amendment of the Articles of Association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Share Capital </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Pr>
          <w:p w:rsidR="00F31F64" w:rsidRPr="009E43E0"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E545CA"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rsidR="00E545CA" w:rsidRDefault="00E545CA" w:rsidP="00AC55C3">
            <w:pPr>
              <w:rPr>
                <w:rFonts w:ascii="Calibri" w:hAnsi="Calibri"/>
                <w:color w:val="000000"/>
                <w:sz w:val="18"/>
                <w:szCs w:val="18"/>
              </w:rPr>
            </w:pPr>
            <w:r>
              <w:rPr>
                <w:rFonts w:ascii="Calibri" w:hAnsi="Calibri"/>
                <w:color w:val="000000"/>
                <w:sz w:val="18"/>
                <w:szCs w:val="18"/>
              </w:rPr>
              <w:t>Filing</w:t>
            </w:r>
            <w:r w:rsidR="00AC55C3">
              <w:rPr>
                <w:rFonts w:ascii="Calibri" w:hAnsi="Calibri"/>
                <w:color w:val="000000"/>
                <w:sz w:val="18"/>
                <w:szCs w:val="18"/>
              </w:rPr>
              <w:t xml:space="preserve"> of any Special </w:t>
            </w:r>
            <w:r>
              <w:rPr>
                <w:rFonts w:ascii="Calibri" w:hAnsi="Calibri"/>
                <w:color w:val="000000"/>
                <w:sz w:val="18"/>
                <w:szCs w:val="18"/>
              </w:rPr>
              <w:t>Resolution</w:t>
            </w:r>
            <w:r w:rsidR="00AC55C3">
              <w:rPr>
                <w:rFonts w:ascii="Calibri" w:hAnsi="Calibri"/>
                <w:color w:val="000000"/>
                <w:sz w:val="18"/>
                <w:szCs w:val="18"/>
              </w:rPr>
              <w:t xml:space="preserve"> of Shareholders</w:t>
            </w:r>
            <w:bookmarkStart w:id="0" w:name="_GoBack"/>
            <w:bookmarkEnd w:id="0"/>
          </w:p>
        </w:tc>
        <w:tc>
          <w:tcPr>
            <w:tcW w:w="3969" w:type="dxa"/>
          </w:tcPr>
          <w:p w:rsidR="00E545CA" w:rsidRDefault="00AC55C3"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AC55C3">
              <w:rPr>
                <w:rFonts w:ascii="Calibri" w:hAnsi="Calibri"/>
                <w:color w:val="000000"/>
                <w:sz w:val="18"/>
                <w:szCs w:val="18"/>
              </w:rPr>
              <w:t>Within 30 days of date of resolution</w:t>
            </w:r>
          </w:p>
        </w:tc>
        <w:tc>
          <w:tcPr>
            <w:tcW w:w="1984" w:type="dxa"/>
          </w:tcPr>
          <w:p w:rsidR="00E545CA" w:rsidRDefault="00E545CA"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084144">
            <w:pPr>
              <w:rPr>
                <w:rFonts w:ascii="Calibri" w:hAnsi="Calibri"/>
                <w:color w:val="000000"/>
                <w:sz w:val="18"/>
                <w:szCs w:val="18"/>
              </w:rPr>
            </w:pPr>
            <w:r w:rsidRPr="009E43E0">
              <w:rPr>
                <w:rFonts w:ascii="Calibri" w:hAnsi="Calibri"/>
                <w:color w:val="000000"/>
                <w:sz w:val="18"/>
                <w:szCs w:val="18"/>
              </w:rPr>
              <w:t xml:space="preserve">Dissolution of </w:t>
            </w:r>
            <w:r w:rsidR="00084144">
              <w:rPr>
                <w:rFonts w:ascii="Calibri" w:hAnsi="Calibri"/>
                <w:color w:val="000000"/>
                <w:sz w:val="18"/>
                <w:szCs w:val="18"/>
              </w:rPr>
              <w:t>the company</w:t>
            </w:r>
          </w:p>
        </w:tc>
        <w:tc>
          <w:tcPr>
            <w:tcW w:w="3969" w:type="dxa"/>
          </w:tcPr>
          <w:p w:rsidR="00F31F64"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p w:rsidR="00F03457" w:rsidRPr="009E43E0" w:rsidRDefault="00F03457"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926512"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rsidR="00926512" w:rsidRPr="009E43E0" w:rsidRDefault="00926512" w:rsidP="00084144">
            <w:pPr>
              <w:rPr>
                <w:rFonts w:ascii="Calibri" w:hAnsi="Calibri"/>
                <w:color w:val="000000"/>
                <w:sz w:val="18"/>
                <w:szCs w:val="18"/>
              </w:rPr>
            </w:pPr>
            <w:r>
              <w:rPr>
                <w:rFonts w:ascii="Calibri" w:hAnsi="Calibri"/>
                <w:color w:val="000000"/>
                <w:sz w:val="18"/>
                <w:szCs w:val="18"/>
              </w:rPr>
              <w:t xml:space="preserve">Application for Voluntary Strike of </w:t>
            </w:r>
          </w:p>
        </w:tc>
        <w:tc>
          <w:tcPr>
            <w:tcW w:w="3969" w:type="dxa"/>
          </w:tcPr>
          <w:p w:rsidR="00926512"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As and when required by the company</w:t>
            </w:r>
          </w:p>
          <w:p w:rsidR="00F03457" w:rsidRPr="009E43E0" w:rsidRDefault="00F03457"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rsidR="00926512" w:rsidRPr="009E43E0"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bl>
    <w:p w:rsidR="00084144" w:rsidRDefault="00084144" w:rsidP="00290DC7">
      <w:pPr>
        <w:rPr>
          <w:sz w:val="18"/>
          <w:szCs w:val="18"/>
        </w:rPr>
      </w:pPr>
    </w:p>
    <w:p w:rsidR="00084144" w:rsidRDefault="00084144" w:rsidP="00290DC7"/>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DE" w:rsidRDefault="006E13DE" w:rsidP="00084144">
      <w:pPr>
        <w:spacing w:after="0" w:line="240" w:lineRule="auto"/>
      </w:pPr>
      <w:r>
        <w:separator/>
      </w:r>
    </w:p>
  </w:endnote>
  <w:endnote w:type="continuationSeparator" w:id="0">
    <w:p w:rsidR="006E13DE" w:rsidRDefault="006E13DE"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F03457" w:rsidRDefault="00084144" w:rsidP="00084144">
    <w:pPr>
      <w:rPr>
        <w:rFonts w:ascii="Arial" w:hAnsi="Arial" w:cs="Arial"/>
        <w:sz w:val="18"/>
        <w:szCs w:val="18"/>
        <w:lang w:val="en-GB"/>
      </w:rPr>
    </w:pPr>
    <w:r w:rsidRPr="00F03457">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DE" w:rsidRDefault="006E13DE" w:rsidP="00084144">
      <w:pPr>
        <w:spacing w:after="0" w:line="240" w:lineRule="auto"/>
      </w:pPr>
      <w:r>
        <w:separator/>
      </w:r>
    </w:p>
  </w:footnote>
  <w:footnote w:type="continuationSeparator" w:id="0">
    <w:p w:rsidR="006E13DE" w:rsidRDefault="006E13DE"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206D2F"/>
    <w:rsid w:val="002075D9"/>
    <w:rsid w:val="00252EED"/>
    <w:rsid w:val="00290DC7"/>
    <w:rsid w:val="00342FB4"/>
    <w:rsid w:val="004C44B5"/>
    <w:rsid w:val="006E13DE"/>
    <w:rsid w:val="0073574D"/>
    <w:rsid w:val="00736D44"/>
    <w:rsid w:val="00851D06"/>
    <w:rsid w:val="008B0A68"/>
    <w:rsid w:val="00926512"/>
    <w:rsid w:val="009B1F3F"/>
    <w:rsid w:val="009E43E0"/>
    <w:rsid w:val="00A13A5A"/>
    <w:rsid w:val="00A15822"/>
    <w:rsid w:val="00A552CD"/>
    <w:rsid w:val="00A96989"/>
    <w:rsid w:val="00AB0875"/>
    <w:rsid w:val="00AC55C3"/>
    <w:rsid w:val="00B329F9"/>
    <w:rsid w:val="00BD0CB9"/>
    <w:rsid w:val="00C40599"/>
    <w:rsid w:val="00C64539"/>
    <w:rsid w:val="00E066D2"/>
    <w:rsid w:val="00E07904"/>
    <w:rsid w:val="00E12AA7"/>
    <w:rsid w:val="00E33714"/>
    <w:rsid w:val="00E3587F"/>
    <w:rsid w:val="00E545CA"/>
    <w:rsid w:val="00E77C3F"/>
    <w:rsid w:val="00EE3CF3"/>
    <w:rsid w:val="00F03457"/>
    <w:rsid w:val="00F3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5</cp:revision>
  <dcterms:created xsi:type="dcterms:W3CDTF">2018-11-09T19:13:00Z</dcterms:created>
  <dcterms:modified xsi:type="dcterms:W3CDTF">2018-11-13T08:35:00Z</dcterms:modified>
</cp:coreProperties>
</file>